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b/>
          <w:bCs/>
          <w:sz w:val="44"/>
          <w:szCs w:val="44"/>
          <w:lang w:val="en-US" w:eastAsia="zh-CN"/>
        </w:rPr>
        <w:t>2020年深圳市部门统计调查项目目录</w:t>
      </w:r>
    </w:p>
    <w:tbl>
      <w:tblPr>
        <w:tblStyle w:val="4"/>
        <w:tblpPr w:leftFromText="180" w:rightFromText="180" w:vertAnchor="page" w:horzAnchor="margin" w:tblpX="1" w:tblpY="3241"/>
        <w:tblW w:w="1417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6"/>
        <w:gridCol w:w="5584"/>
        <w:gridCol w:w="1792"/>
        <w:gridCol w:w="2198"/>
        <w:gridCol w:w="2136"/>
        <w:gridCol w:w="147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86" w:type="dxa"/>
            <w:tcBorders>
              <w:tl2br w:val="nil"/>
              <w:tr2bl w:val="nil"/>
            </w:tcBorders>
            <w:vAlign w:val="center"/>
          </w:tcPr>
          <w:p>
            <w:pPr>
              <w:jc w:val="center"/>
              <w:rPr>
                <w:rFonts w:hint="eastAsia" w:ascii="Times New Roman" w:hAnsi="Times New Roman" w:eastAsia="宋体" w:cs="Times New Roman"/>
                <w:kern w:val="0"/>
                <w:sz w:val="28"/>
                <w:szCs w:val="36"/>
              </w:rPr>
            </w:pPr>
            <w:r>
              <w:rPr>
                <w:rFonts w:hint="eastAsia" w:ascii="Times New Roman" w:hAnsi="Times New Roman" w:eastAsia="宋体" w:cs="Times New Roman"/>
                <w:b/>
                <w:bCs/>
                <w:kern w:val="0"/>
                <w:sz w:val="28"/>
                <w:szCs w:val="36"/>
              </w:rPr>
              <w:t>序号</w:t>
            </w:r>
          </w:p>
        </w:tc>
        <w:tc>
          <w:tcPr>
            <w:tcW w:w="5584" w:type="dxa"/>
            <w:tcBorders>
              <w:tl2br w:val="nil"/>
              <w:tr2bl w:val="nil"/>
            </w:tcBorders>
            <w:vAlign w:val="center"/>
          </w:tcPr>
          <w:p>
            <w:pPr>
              <w:jc w:val="center"/>
              <w:rPr>
                <w:rFonts w:hint="eastAsia" w:ascii="仿宋_GB2312" w:hAnsi="仿宋_GB2312" w:eastAsia="仿宋_GB2312" w:cs="仿宋_GB2312"/>
                <w:b w:val="0"/>
                <w:bCs/>
                <w:sz w:val="32"/>
                <w:szCs w:val="32"/>
                <w:lang w:val="en-US" w:eastAsia="zh-CN"/>
              </w:rPr>
            </w:pPr>
            <w:r>
              <w:rPr>
                <w:rFonts w:hint="eastAsia" w:ascii="Times New Roman" w:hAnsi="Times New Roman" w:eastAsia="宋体" w:cs="Times New Roman"/>
                <w:b/>
                <w:bCs/>
                <w:kern w:val="0"/>
                <w:sz w:val="28"/>
                <w:szCs w:val="36"/>
              </w:rPr>
              <w:t>统计调查项目及报表名称</w:t>
            </w:r>
          </w:p>
        </w:tc>
        <w:tc>
          <w:tcPr>
            <w:tcW w:w="1792"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Times New Roman" w:hAnsi="Times New Roman" w:eastAsia="宋体" w:cs="Times New Roman"/>
                <w:b/>
                <w:bCs/>
                <w:kern w:val="0"/>
                <w:sz w:val="28"/>
                <w:szCs w:val="36"/>
              </w:rPr>
              <w:t>申报部门</w:t>
            </w:r>
          </w:p>
        </w:tc>
        <w:tc>
          <w:tcPr>
            <w:tcW w:w="2198" w:type="dxa"/>
            <w:tcBorders>
              <w:tl2br w:val="nil"/>
              <w:tr2bl w:val="nil"/>
            </w:tcBorders>
            <w:vAlign w:val="center"/>
          </w:tcPr>
          <w:p>
            <w:pPr>
              <w:jc w:val="center"/>
              <w:rPr>
                <w:rFonts w:hint="eastAsia" w:ascii="仿宋_GB2312" w:hAnsi="仿宋_GB2312" w:eastAsia="仿宋_GB2312" w:cs="仿宋_GB2312"/>
                <w:bCs/>
                <w:kern w:val="0"/>
                <w:sz w:val="24"/>
              </w:rPr>
            </w:pPr>
            <w:r>
              <w:rPr>
                <w:rFonts w:hint="eastAsia" w:ascii="Times New Roman" w:hAnsi="Times New Roman" w:eastAsia="宋体" w:cs="Times New Roman"/>
                <w:b/>
                <w:bCs/>
                <w:kern w:val="0"/>
                <w:sz w:val="28"/>
                <w:szCs w:val="36"/>
              </w:rPr>
              <w:t>批准表号</w:t>
            </w: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Times New Roman" w:hAnsi="Times New Roman" w:eastAsia="宋体" w:cs="Times New Roman"/>
                <w:b/>
                <w:bCs/>
                <w:kern w:val="0"/>
                <w:sz w:val="28"/>
                <w:szCs w:val="36"/>
              </w:rPr>
              <w:t>批准文号</w:t>
            </w:r>
          </w:p>
        </w:tc>
        <w:tc>
          <w:tcPr>
            <w:tcW w:w="1478"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8"/>
                <w:szCs w:val="28"/>
                <w:lang w:val="en-US" w:eastAsia="zh-CN"/>
              </w:rPr>
              <w:t>批准时间及有效期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8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1</w:t>
            </w:r>
          </w:p>
        </w:tc>
        <w:tc>
          <w:tcPr>
            <w:tcW w:w="5584" w:type="dxa"/>
            <w:tcBorders>
              <w:tl2br w:val="nil"/>
              <w:tr2bl w:val="nil"/>
            </w:tcBorders>
          </w:tcPr>
          <w:p>
            <w:pPr>
              <w:rPr>
                <w:rFonts w:hint="eastAsia" w:ascii="宋体" w:hAnsi="宋体" w:eastAsia="宋体" w:cs="宋体"/>
                <w:b/>
                <w:bCs/>
                <w:kern w:val="0"/>
                <w:sz w:val="28"/>
                <w:szCs w:val="32"/>
              </w:rPr>
            </w:pPr>
            <w:r>
              <w:rPr>
                <w:rFonts w:hint="eastAsia" w:ascii="宋体" w:hAnsi="宋体" w:eastAsia="宋体" w:cs="宋体"/>
                <w:b/>
                <w:bCs/>
                <w:kern w:val="0"/>
                <w:sz w:val="28"/>
                <w:szCs w:val="32"/>
              </w:rPr>
              <w:t>深圳市燃气行业统计调查</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燃具安装维修企业基本情况表</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燃气基础设施在建工程情况</w:t>
            </w:r>
          </w:p>
          <w:p>
            <w:pPr>
              <w:rPr>
                <w:rFonts w:hint="eastAsia" w:ascii="仿宋_GB2312" w:hAnsi="仿宋_GB2312" w:eastAsia="仿宋_GB2312" w:cs="仿宋_GB2312"/>
                <w:b w:val="0"/>
                <w:bCs/>
                <w:sz w:val="24"/>
                <w:szCs w:val="24"/>
                <w:lang w:val="en-US" w:eastAsia="zh-CN"/>
              </w:rPr>
            </w:pP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液化石油气经营企业购、销情况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天然气经营企业购、销情况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液化石油气经营企业供应用户情况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天然气经营企业供应用户情况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天然气管网建设情况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燃气安全宣传情况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燃气事故情况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液化石油气经营企业瓶装燃气销售价格情况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区燃气行业主管部门瓶装燃气供应站、服务点情况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燃气行业主管部门安全检查情况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燃气行业主管部门燃气事故情况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燃气行业从业人员培训情况</w:t>
            </w:r>
          </w:p>
          <w:p>
            <w:pP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燃具气源适配性标识申领情况</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24"/>
                <w:szCs w:val="24"/>
                <w:lang w:val="en-US" w:eastAsia="zh-CN"/>
              </w:rPr>
              <w:t>市行业主管部门行政许可事项</w:t>
            </w:r>
          </w:p>
        </w:tc>
        <w:tc>
          <w:tcPr>
            <w:tcW w:w="1792"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b w:val="0"/>
                <w:bCs/>
                <w:sz w:val="24"/>
                <w:szCs w:val="24"/>
                <w:lang w:val="en-US" w:eastAsia="zh-CN"/>
              </w:rPr>
              <w:t>深圳市住房和建设局</w:t>
            </w:r>
          </w:p>
        </w:tc>
        <w:tc>
          <w:tcPr>
            <w:tcW w:w="2198" w:type="dxa"/>
            <w:tcBorders>
              <w:tl2br w:val="nil"/>
              <w:tr2bl w:val="nil"/>
            </w:tcBorders>
            <w:vAlign w:val="center"/>
          </w:tcPr>
          <w:p>
            <w:pPr>
              <w:rPr>
                <w:rFonts w:hint="eastAsia" w:ascii="仿宋_GB2312" w:hAnsi="仿宋_GB2312" w:eastAsia="仿宋_GB2312" w:cs="仿宋_GB2312"/>
                <w:bCs/>
                <w:kern w:val="0"/>
                <w:sz w:val="24"/>
              </w:rPr>
            </w:pPr>
          </w:p>
          <w:p>
            <w:pPr>
              <w:rPr>
                <w:rFonts w:hint="eastAsia" w:ascii="仿宋_GB2312" w:hAnsi="仿宋_GB2312" w:eastAsia="仿宋_GB2312" w:cs="仿宋_GB2312"/>
                <w:bCs/>
                <w:kern w:val="0"/>
                <w:sz w:val="24"/>
              </w:rPr>
            </w:pP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深住建101表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2</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3</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4</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5</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6</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7</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8</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深住建10</w:t>
            </w:r>
            <w:r>
              <w:rPr>
                <w:rFonts w:hint="eastAsia" w:ascii="仿宋_GB2312" w:hAnsi="仿宋_GB2312" w:eastAsia="仿宋_GB2312" w:cs="仿宋_GB2312"/>
                <w:bCs/>
                <w:kern w:val="0"/>
                <w:sz w:val="24"/>
                <w:lang w:val="en-US" w:eastAsia="zh-CN"/>
              </w:rPr>
              <w:t>9</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10</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11</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12</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13</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14</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15</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16</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17</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深住建1</w:t>
            </w:r>
            <w:r>
              <w:rPr>
                <w:rFonts w:hint="eastAsia" w:ascii="仿宋_GB2312" w:hAnsi="仿宋_GB2312" w:eastAsia="仿宋_GB2312" w:cs="仿宋_GB2312"/>
                <w:bCs/>
                <w:kern w:val="0"/>
                <w:sz w:val="24"/>
                <w:lang w:val="en-US" w:eastAsia="zh-CN"/>
              </w:rPr>
              <w:t>18</w:t>
            </w:r>
            <w:r>
              <w:rPr>
                <w:rFonts w:hint="eastAsia" w:ascii="仿宋_GB2312" w:hAnsi="仿宋_GB2312" w:eastAsia="仿宋_GB2312" w:cs="仿宋_GB2312"/>
                <w:bCs/>
                <w:kern w:val="0"/>
                <w:sz w:val="24"/>
              </w:rPr>
              <w:t>表</w:t>
            </w:r>
          </w:p>
          <w:p>
            <w:pPr>
              <w:rPr>
                <w:rFonts w:hint="eastAsia" w:ascii="仿宋_GB2312" w:hAnsi="仿宋_GB2312" w:eastAsia="仿宋_GB2312" w:cs="仿宋_GB2312"/>
                <w:bCs/>
                <w:kern w:val="0"/>
                <w:sz w:val="24"/>
              </w:rPr>
            </w:pPr>
          </w:p>
        </w:tc>
        <w:tc>
          <w:tcPr>
            <w:tcW w:w="2136" w:type="dxa"/>
            <w:tcBorders>
              <w:tl2br w:val="nil"/>
              <w:tr2bl w:val="nil"/>
            </w:tcBorders>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深统法字〔2020〕1号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批准时间:2020年1月20日；有效期至：2020年7月31日（年报）、</w:t>
            </w:r>
          </w:p>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kern w:val="0"/>
                <w:sz w:val="24"/>
                <w:szCs w:val="24"/>
                <w:lang w:val="en-US" w:eastAsia="zh-CN"/>
              </w:rPr>
              <w:t>2021年1月31日（季报、月报）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8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Times New Roman" w:hAnsi="Times New Roman" w:eastAsia="宋体" w:cs="Times New Roman"/>
                <w:kern w:val="0"/>
                <w:sz w:val="28"/>
                <w:szCs w:val="36"/>
              </w:rPr>
              <w:t>2</w:t>
            </w:r>
          </w:p>
        </w:tc>
        <w:tc>
          <w:tcPr>
            <w:tcW w:w="5584" w:type="dxa"/>
            <w:tcBorders>
              <w:tl2br w:val="nil"/>
              <w:tr2bl w:val="nil"/>
            </w:tcBorders>
          </w:tcPr>
          <w:p>
            <w:pPr>
              <w:autoSpaceDE w:val="0"/>
              <w:autoSpaceDN w:val="0"/>
              <w:adjustRightInd w:val="0"/>
              <w:jc w:val="left"/>
              <w:rPr>
                <w:rFonts w:hint="eastAsia" w:ascii="宋体" w:hAnsi="宋体" w:eastAsia="宋体" w:cs="宋体"/>
                <w:b/>
                <w:bCs/>
                <w:kern w:val="0"/>
                <w:sz w:val="28"/>
                <w:szCs w:val="32"/>
              </w:rPr>
            </w:pPr>
            <w:r>
              <w:rPr>
                <w:rFonts w:hint="eastAsia" w:ascii="宋体" w:hAnsi="宋体" w:eastAsia="宋体" w:cs="宋体"/>
                <w:b/>
                <w:bCs/>
                <w:kern w:val="0"/>
                <w:sz w:val="28"/>
                <w:szCs w:val="32"/>
              </w:rPr>
              <w:t>深圳市海洋经济统计调查</w:t>
            </w:r>
          </w:p>
          <w:p>
            <w:pPr>
              <w:autoSpaceDE w:val="0"/>
              <w:autoSpaceDN w:val="0"/>
              <w:adjustRightInd w:val="0"/>
              <w:jc w:val="left"/>
              <w:rPr>
                <w:rFonts w:hint="eastAsia" w:ascii="宋体" w:hAnsi="宋体" w:eastAsia="宋体" w:cs="宋体"/>
                <w:kern w:val="0"/>
                <w:sz w:val="28"/>
                <w:szCs w:val="32"/>
              </w:rPr>
            </w:pPr>
            <w:r>
              <w:rPr>
                <w:rFonts w:hint="eastAsia" w:ascii="仿宋_GB2312" w:hAnsi="仿宋_GB2312" w:eastAsia="仿宋_GB2312" w:cs="仿宋_GB2312"/>
                <w:kern w:val="0"/>
                <w:sz w:val="24"/>
                <w:szCs w:val="24"/>
              </w:rPr>
              <w:t>（一）通用报表</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单位基本情况表</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涉海法人单位（企业）财务状况-工业企业</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涉海法人单位（企业）财务状况-建筑业企业</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涉海法人单位（企业）财务状况-服务业企业</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涉海法人单位（企业）财务状况-批发和零售、住宿和餐饮业企业</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海洋法人单位（企业）财务状况</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海洋法人单位（行政事业单位）财务状况</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涉海企业情况-创新示范企业</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涉（用）海企业科研情况</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涉海工业企业创新情况</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涉海建筑业企业创新情况</w:t>
            </w:r>
          </w:p>
          <w:p>
            <w:p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涉海服务业企业创新情况</w:t>
            </w:r>
          </w:p>
          <w:p>
            <w:pPr>
              <w:numPr>
                <w:ilvl w:val="0"/>
                <w:numId w:val="1"/>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海洋渔业基本情况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海洋油气企业生产情况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海水利用情况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海洋交通运输基本情况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海洋交通运输企业经营情况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海洋旅游业基本情况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海洋工程建筑项目情况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重点园区（项目）科技创新情况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海洋矿业企业生产情况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海洋化工企业生产情况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海洋药物和生物制品企业生产情况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海洋可再生能源利用企业生产情况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海洋工程装备制造业生产情况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海洋船舶企业生产情况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其他海洋产业情况</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涉海企业科技活动情况</w:t>
            </w:r>
          </w:p>
        </w:tc>
        <w:tc>
          <w:tcPr>
            <w:tcW w:w="1792"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kern w:val="0"/>
                <w:sz w:val="24"/>
                <w:szCs w:val="24"/>
              </w:rPr>
              <w:t>深圳市海洋渔业局</w:t>
            </w:r>
          </w:p>
        </w:tc>
        <w:tc>
          <w:tcPr>
            <w:tcW w:w="2198" w:type="dxa"/>
            <w:tcBorders>
              <w:tl2br w:val="nil"/>
              <w:tr2bl w:val="nil"/>
            </w:tcBorders>
            <w:vAlign w:val="top"/>
          </w:tcPr>
          <w:p>
            <w:pPr>
              <w:autoSpaceDE w:val="0"/>
              <w:autoSpaceDN w:val="0"/>
              <w:adjustRightInd w:val="0"/>
              <w:jc w:val="both"/>
              <w:rPr>
                <w:rFonts w:hint="eastAsia" w:ascii="仿宋_GB2312" w:hAnsi="仿宋_GB2312" w:eastAsia="仿宋_GB2312" w:cs="仿宋_GB2312"/>
                <w:kern w:val="0"/>
                <w:sz w:val="24"/>
                <w:szCs w:val="24"/>
              </w:rPr>
            </w:pPr>
          </w:p>
          <w:p>
            <w:pPr>
              <w:autoSpaceDE w:val="0"/>
              <w:autoSpaceDN w:val="0"/>
              <w:adjustRightInd w:val="0"/>
              <w:jc w:val="both"/>
              <w:rPr>
                <w:rFonts w:hint="eastAsia" w:ascii="仿宋_GB2312" w:hAnsi="仿宋_GB2312" w:eastAsia="仿宋_GB2312" w:cs="仿宋_GB2312"/>
                <w:kern w:val="0"/>
                <w:sz w:val="24"/>
                <w:szCs w:val="24"/>
              </w:rPr>
            </w:pPr>
          </w:p>
          <w:p>
            <w:pPr>
              <w:autoSpaceDE w:val="0"/>
              <w:autoSpaceDN w:val="0"/>
              <w:adjustRightInd w:val="0"/>
              <w:jc w:val="both"/>
              <w:rPr>
                <w:rFonts w:hint="eastAsia" w:ascii="仿宋_GB2312" w:hAnsi="仿宋_GB2312" w:eastAsia="仿宋_GB2312" w:cs="仿宋_GB2312"/>
                <w:kern w:val="0"/>
                <w:sz w:val="24"/>
                <w:szCs w:val="24"/>
              </w:rPr>
            </w:pP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深海渔101表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深海渔10</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13</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14</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16</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17</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18</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19</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21</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22</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23</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24</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25</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26</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27</w:t>
            </w:r>
            <w:r>
              <w:rPr>
                <w:rFonts w:hint="eastAsia" w:ascii="仿宋_GB2312" w:hAnsi="仿宋_GB2312" w:eastAsia="仿宋_GB2312" w:cs="仿宋_GB2312"/>
                <w:kern w:val="0"/>
                <w:sz w:val="24"/>
                <w:szCs w:val="24"/>
              </w:rPr>
              <w:t>表</w:t>
            </w:r>
          </w:p>
          <w:p>
            <w:pPr>
              <w:autoSpaceDE w:val="0"/>
              <w:autoSpaceDN w:val="0"/>
              <w:adjustRightInd w:val="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深海渔1</w:t>
            </w:r>
            <w:r>
              <w:rPr>
                <w:rFonts w:hint="eastAsia" w:ascii="仿宋_GB2312" w:hAnsi="仿宋_GB2312" w:eastAsia="仿宋_GB2312" w:cs="仿宋_GB2312"/>
                <w:kern w:val="0"/>
                <w:sz w:val="24"/>
                <w:szCs w:val="24"/>
                <w:lang w:val="en-US" w:eastAsia="zh-CN"/>
              </w:rPr>
              <w:t>28</w:t>
            </w:r>
            <w:r>
              <w:rPr>
                <w:rFonts w:hint="eastAsia" w:ascii="仿宋_GB2312" w:hAnsi="仿宋_GB2312" w:eastAsia="仿宋_GB2312" w:cs="仿宋_GB2312"/>
                <w:kern w:val="0"/>
                <w:sz w:val="24"/>
                <w:szCs w:val="24"/>
              </w:rPr>
              <w:t>表</w:t>
            </w:r>
          </w:p>
        </w:tc>
        <w:tc>
          <w:tcPr>
            <w:tcW w:w="2136"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b w:val="0"/>
                <w:bCs/>
                <w:sz w:val="24"/>
                <w:szCs w:val="24"/>
                <w:lang w:val="en-US" w:eastAsia="zh-CN"/>
              </w:rPr>
              <w:t>深统法字〔2020〕2号</w:t>
            </w:r>
          </w:p>
        </w:tc>
        <w:tc>
          <w:tcPr>
            <w:tcW w:w="1478" w:type="dxa"/>
            <w:tcBorders>
              <w:tl2br w:val="nil"/>
              <w:tr2bl w:val="nil"/>
            </w:tcBorders>
            <w:vAlign w:val="center"/>
          </w:tcPr>
          <w:p>
            <w:pPr>
              <w:jc w:val="center"/>
              <w:rPr>
                <w:rFonts w:ascii="Times New Roman" w:hAnsi="Times New Roman" w:eastAsia="宋体" w:cs="Times New Roman"/>
                <w:kern w:val="0"/>
                <w:sz w:val="28"/>
                <w:szCs w:val="36"/>
              </w:rPr>
            </w:pPr>
            <w:r>
              <w:rPr>
                <w:rFonts w:hint="eastAsia" w:ascii="仿宋_GB2312" w:hAnsi="仿宋_GB2312" w:eastAsia="仿宋_GB2312" w:cs="仿宋_GB2312"/>
                <w:kern w:val="0"/>
                <w:sz w:val="24"/>
                <w:szCs w:val="24"/>
                <w:lang w:val="en-US" w:eastAsia="zh-CN"/>
              </w:rPr>
              <w:t>批准时间:2020年1月21日；有效期至：2020年7月31日（年报）、          2021年1月31日（季报、月报）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86" w:type="dxa"/>
            <w:tcBorders>
              <w:tl2br w:val="nil"/>
              <w:tr2bl w:val="nil"/>
            </w:tcBorders>
            <w:vAlign w:val="center"/>
          </w:tcPr>
          <w:p>
            <w:pPr>
              <w:jc w:val="center"/>
              <w:rPr>
                <w:rFonts w:hint="eastAsia"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3</w:t>
            </w:r>
          </w:p>
        </w:tc>
        <w:tc>
          <w:tcPr>
            <w:tcW w:w="5584" w:type="dxa"/>
            <w:tcBorders>
              <w:tl2br w:val="nil"/>
              <w:tr2bl w:val="nil"/>
            </w:tcBorders>
          </w:tcPr>
          <w:p>
            <w:pPr>
              <w:autoSpaceDE w:val="0"/>
              <w:autoSpaceDN w:val="0"/>
              <w:adjustRightInd w:val="0"/>
              <w:jc w:val="left"/>
              <w:rPr>
                <w:rFonts w:hint="eastAsia" w:ascii="宋体" w:hAnsi="宋体" w:eastAsia="宋体" w:cs="宋体"/>
                <w:b/>
                <w:bCs/>
                <w:kern w:val="0"/>
                <w:sz w:val="28"/>
                <w:szCs w:val="32"/>
              </w:rPr>
            </w:pPr>
            <w:r>
              <w:rPr>
                <w:rFonts w:hint="eastAsia" w:ascii="宋体" w:hAnsi="宋体" w:eastAsia="宋体" w:cs="宋体"/>
                <w:b/>
                <w:bCs/>
                <w:kern w:val="0"/>
                <w:sz w:val="28"/>
                <w:szCs w:val="32"/>
                <w:lang w:eastAsia="zh-CN"/>
              </w:rPr>
              <w:t>自贸区</w:t>
            </w:r>
            <w:r>
              <w:rPr>
                <w:rFonts w:hint="eastAsia" w:ascii="宋体" w:hAnsi="宋体" w:eastAsia="宋体" w:cs="宋体"/>
                <w:b/>
                <w:bCs/>
                <w:kern w:val="0"/>
                <w:sz w:val="28"/>
                <w:szCs w:val="32"/>
              </w:rPr>
              <w:t>20</w:t>
            </w:r>
            <w:r>
              <w:rPr>
                <w:rFonts w:hint="eastAsia" w:ascii="宋体" w:hAnsi="宋体" w:eastAsia="宋体" w:cs="宋体"/>
                <w:b/>
                <w:bCs/>
                <w:kern w:val="0"/>
                <w:sz w:val="28"/>
                <w:szCs w:val="32"/>
                <w:lang w:val="en-US" w:eastAsia="zh-CN"/>
              </w:rPr>
              <w:t>20</w:t>
            </w:r>
            <w:r>
              <w:rPr>
                <w:rFonts w:hint="eastAsia" w:ascii="宋体" w:hAnsi="宋体" w:eastAsia="宋体" w:cs="宋体"/>
                <w:b/>
                <w:bCs/>
                <w:kern w:val="0"/>
                <w:sz w:val="28"/>
                <w:szCs w:val="32"/>
              </w:rPr>
              <w:t>年</w:t>
            </w:r>
            <w:r>
              <w:rPr>
                <w:rFonts w:hint="eastAsia" w:ascii="宋体" w:hAnsi="宋体" w:eastAsia="宋体" w:cs="宋体"/>
                <w:b/>
                <w:bCs/>
                <w:kern w:val="0"/>
                <w:sz w:val="28"/>
                <w:szCs w:val="32"/>
                <w:lang w:eastAsia="zh-CN"/>
              </w:rPr>
              <w:t>企业</w:t>
            </w:r>
            <w:r>
              <w:rPr>
                <w:rFonts w:hint="eastAsia" w:ascii="宋体" w:hAnsi="宋体" w:eastAsia="宋体" w:cs="宋体"/>
                <w:b/>
                <w:bCs/>
                <w:kern w:val="0"/>
                <w:sz w:val="28"/>
                <w:szCs w:val="32"/>
              </w:rPr>
              <w:t>统计调查项目</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中国（广东）自由贸易试验区深圳前海蛇口片区2020年经济活动季度统计调查（金融业）</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中国（广东）自由贸易试验区深圳前海蛇口片区2020年经济活动季度统计调查（现代物流业）</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中国（广东）自由贸易试验区深圳前海蛇口片区2020年经济活动季度统计调查（信息和科技服务业）</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中国（广东）自由贸易试验区深圳前海蛇口片区2020年经济活动季度统计调查（其他）</w:t>
            </w:r>
          </w:p>
        </w:tc>
        <w:tc>
          <w:tcPr>
            <w:tcW w:w="1792" w:type="dxa"/>
            <w:tcBorders>
              <w:tl2br w:val="nil"/>
              <w:tr2bl w:val="nil"/>
            </w:tcBorders>
            <w:vAlign w:val="center"/>
          </w:tcPr>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深圳市前海深港现代服务业合作区管理局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深前海101表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深前海102表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深前海103表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深前海104表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深统法字〔2020〕3号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批</w:t>
            </w:r>
            <w:r>
              <w:rPr>
                <w:rFonts w:hint="eastAsia" w:ascii="仿宋_GB2312" w:hAnsi="仿宋_GB2312" w:eastAsia="仿宋_GB2312" w:cs="仿宋_GB2312"/>
                <w:kern w:val="0"/>
                <w:sz w:val="24"/>
                <w:szCs w:val="24"/>
                <w:lang w:val="en-US" w:eastAsia="zh-CN"/>
              </w:rPr>
              <w:t>准时间:</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2020年4月7日;有效期至: 2021 年1 月31 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4</w:t>
            </w:r>
          </w:p>
        </w:tc>
        <w:tc>
          <w:tcPr>
            <w:tcW w:w="5584" w:type="dxa"/>
            <w:tcBorders>
              <w:tl2br w:val="nil"/>
              <w:tr2bl w:val="nil"/>
            </w:tcBorders>
          </w:tcPr>
          <w:p>
            <w:pPr>
              <w:numPr>
                <w:ilvl w:val="0"/>
                <w:numId w:val="0"/>
              </w:numPr>
              <w:autoSpaceDE w:val="0"/>
              <w:autoSpaceDN w:val="0"/>
              <w:adjustRightInd w:val="0"/>
              <w:jc w:val="left"/>
              <w:rPr>
                <w:rFonts w:hint="eastAsia" w:ascii="宋体" w:hAnsi="宋体" w:eastAsia="宋体" w:cs="宋体"/>
                <w:b/>
                <w:bCs/>
                <w:kern w:val="0"/>
                <w:sz w:val="28"/>
                <w:szCs w:val="32"/>
                <w:lang w:val="en-US" w:eastAsia="zh-CN"/>
              </w:rPr>
            </w:pPr>
            <w:r>
              <w:rPr>
                <w:rFonts w:hint="eastAsia" w:ascii="宋体" w:hAnsi="宋体" w:eastAsia="宋体" w:cs="宋体"/>
                <w:b/>
                <w:bCs/>
                <w:kern w:val="0"/>
                <w:sz w:val="28"/>
                <w:szCs w:val="32"/>
                <w:lang w:val="en-US" w:eastAsia="zh-CN"/>
              </w:rPr>
              <w:t>减税降费政策实施效果调查问卷</w:t>
            </w: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减税降费政策实施效果调查问卷</w:t>
            </w: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tc>
        <w:tc>
          <w:tcPr>
            <w:tcW w:w="1792"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深圳市财政局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kern w:val="0"/>
                <w:sz w:val="24"/>
                <w:szCs w:val="24"/>
                <w:lang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left"/>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深财政101表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深统法字〔2020〕4号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2020年6月24日；有效期至:2021年5月31日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81"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5</w:t>
            </w:r>
          </w:p>
        </w:tc>
        <w:tc>
          <w:tcPr>
            <w:tcW w:w="5584" w:type="dxa"/>
            <w:tcBorders>
              <w:tl2br w:val="nil"/>
              <w:tr2bl w:val="nil"/>
            </w:tcBorders>
          </w:tcPr>
          <w:p>
            <w:pPr>
              <w:autoSpaceDE w:val="0"/>
              <w:autoSpaceDN w:val="0"/>
              <w:adjustRightInd w:val="0"/>
              <w:jc w:val="left"/>
              <w:rPr>
                <w:rFonts w:hint="eastAsia" w:ascii="宋体" w:hAnsi="宋体" w:eastAsia="宋体" w:cs="宋体"/>
                <w:b/>
                <w:bCs/>
                <w:kern w:val="0"/>
                <w:sz w:val="28"/>
                <w:szCs w:val="32"/>
              </w:rPr>
            </w:pPr>
            <w:r>
              <w:rPr>
                <w:rFonts w:hint="eastAsia" w:ascii="宋体" w:hAnsi="宋体" w:eastAsia="宋体" w:cs="宋体"/>
                <w:b/>
                <w:bCs/>
                <w:kern w:val="0"/>
                <w:sz w:val="28"/>
                <w:szCs w:val="32"/>
              </w:rPr>
              <w:t>深圳市旅游统计调查</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一、基层报表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旅游单位基本情况表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旅行社外联接待入境旅游情况基层月报表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旅行社接待国内游客情况基层月报表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旅行社组团国内旅游情况基层月报表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旅行社组织出境旅游情况基层月报表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旅行社经营情况基层季报表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旅行社主要财务指标基层年报表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旅游住宿单位接待情况基层月报表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旅游住宿单位经营情况基层季报表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旅游住宿单位主要财务指标基层年报表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旅游景区（点）接待情况基层月报表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旅游景区（点）经营情况基层季报表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旅游景区（点）主要财务指标基层年报表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其他旅游企业经营情况基层季报表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其他旅游企业主要财务指标基层年报表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深圳市节假日旅游情况调查日报表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二、</w:t>
            </w:r>
            <w:r>
              <w:rPr>
                <w:rFonts w:hint="eastAsia" w:ascii="仿宋_GB2312" w:hAnsi="仿宋_GB2312" w:eastAsia="仿宋_GB2312" w:cs="仿宋_GB2312"/>
                <w:kern w:val="0"/>
                <w:sz w:val="24"/>
                <w:szCs w:val="24"/>
              </w:rPr>
              <w:t>部门报表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黄金周交通运输部门客运情况日报表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黄金周期间出入境旅客统计日报表</w:t>
            </w:r>
          </w:p>
          <w:p>
            <w:pPr>
              <w:numPr>
                <w:ilvl w:val="0"/>
                <w:numId w:val="0"/>
              </w:numPr>
              <w:autoSpaceDE w:val="0"/>
              <w:autoSpaceDN w:val="0"/>
              <w:adjustRightIn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kern w:val="0"/>
                <w:sz w:val="24"/>
                <w:szCs w:val="24"/>
              </w:rPr>
              <w:t>黄金周商业、餐饮业销售情况统计日报表</w:t>
            </w:r>
          </w:p>
        </w:tc>
        <w:tc>
          <w:tcPr>
            <w:tcW w:w="1792"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深圳市文化广电旅游体育局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深旅101表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深旅102表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深旅103表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深旅104表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深旅105表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深旅108表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深旅109表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深旅110表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深旅111表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深旅112表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深旅113表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深旅114表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深旅115表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深旅116表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深旅117表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深旅122表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深旅123表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深旅124表</w:t>
            </w:r>
          </w:p>
          <w:p>
            <w:pPr>
              <w:numPr>
                <w:ilvl w:val="0"/>
                <w:numId w:val="0"/>
              </w:numPr>
              <w:autoSpaceDE w:val="0"/>
              <w:autoSpaceDN w:val="0"/>
              <w:adjustRightIn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kern w:val="0"/>
                <w:sz w:val="24"/>
                <w:szCs w:val="24"/>
              </w:rPr>
              <w:t>深旅125表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深统法字〔2020〕5号</w:t>
            </w: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2020年9月17日；有效期至:2022年1月31日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81"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6</w:t>
            </w:r>
          </w:p>
        </w:tc>
        <w:tc>
          <w:tcPr>
            <w:tcW w:w="5584" w:type="dxa"/>
            <w:tcBorders>
              <w:tl2br w:val="nil"/>
              <w:tr2bl w:val="nil"/>
            </w:tcBorders>
          </w:tcPr>
          <w:p>
            <w:pPr>
              <w:autoSpaceDE w:val="0"/>
              <w:autoSpaceDN w:val="0"/>
              <w:adjustRightInd w:val="0"/>
              <w:jc w:val="left"/>
              <w:rPr>
                <w:rFonts w:hint="eastAsia" w:ascii="宋体" w:hAnsi="宋体" w:eastAsia="宋体" w:cs="宋体"/>
                <w:b/>
                <w:bCs/>
                <w:kern w:val="0"/>
                <w:sz w:val="28"/>
                <w:szCs w:val="32"/>
              </w:rPr>
            </w:pPr>
            <w:r>
              <w:rPr>
                <w:rFonts w:hint="eastAsia" w:ascii="宋体" w:hAnsi="宋体" w:eastAsia="宋体" w:cs="宋体"/>
                <w:b/>
                <w:bCs/>
                <w:kern w:val="0"/>
                <w:sz w:val="28"/>
                <w:szCs w:val="32"/>
              </w:rPr>
              <w:t>深圳市居民出行调查制度</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深圳市居民出行调查表</w:t>
            </w:r>
          </w:p>
          <w:p>
            <w:pPr>
              <w:numPr>
                <w:ilvl w:val="0"/>
                <w:numId w:val="0"/>
              </w:numPr>
              <w:autoSpaceDE w:val="0"/>
              <w:autoSpaceDN w:val="0"/>
              <w:adjustRightInd w:val="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宾馆问卷调查表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深圳市地铁乘客出行调查表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深圳市地铁乘客出行意愿调查表(扫码填写)</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深圳市公交乘客出行调查表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深圳市公交乘客出行意愿调查表（扫码）</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深圳市居民出行意愿调查表（扫码填写）</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特殊吸引点出行特征调查（医院）</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特殊吸引点出行特征调查（景点）</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时间价值调查表</w:t>
            </w:r>
          </w:p>
        </w:tc>
        <w:tc>
          <w:tcPr>
            <w:tcW w:w="1792"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深圳市规划和自然资源局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kern w:val="0"/>
                <w:sz w:val="24"/>
                <w:szCs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深规划资源101表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深规划资源102表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深规划资源103表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深规划资源104表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深规划资源105表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深规划资源106表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深规划资源107表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深规划资源108表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深规划资源109表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深规划资源110表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深统法字〔2020〕6号</w:t>
            </w: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2020年9月27日;有效期至:2021年1月31日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7</w:t>
            </w:r>
          </w:p>
        </w:tc>
        <w:tc>
          <w:tcPr>
            <w:tcW w:w="5584" w:type="dxa"/>
            <w:tcBorders>
              <w:tl2br w:val="nil"/>
              <w:tr2bl w:val="nil"/>
            </w:tcBorders>
          </w:tcPr>
          <w:p>
            <w:pPr>
              <w:numPr>
                <w:ilvl w:val="0"/>
                <w:numId w:val="0"/>
              </w:numPr>
              <w:autoSpaceDE w:val="0"/>
              <w:autoSpaceDN w:val="0"/>
              <w:adjustRightInd w:val="0"/>
              <w:jc w:val="left"/>
              <w:rPr>
                <w:rFonts w:hint="eastAsia" w:ascii="宋体" w:hAnsi="宋体" w:eastAsia="宋体" w:cs="宋体"/>
                <w:b/>
                <w:bCs/>
                <w:kern w:val="0"/>
                <w:sz w:val="28"/>
                <w:szCs w:val="32"/>
                <w:lang w:val="en-US" w:eastAsia="zh-CN"/>
              </w:rPr>
            </w:pPr>
            <w:r>
              <w:rPr>
                <w:rFonts w:hint="eastAsia" w:ascii="宋体" w:hAnsi="宋体" w:eastAsia="宋体" w:cs="宋体"/>
                <w:b/>
                <w:bCs/>
                <w:kern w:val="0"/>
                <w:sz w:val="28"/>
                <w:szCs w:val="32"/>
              </w:rPr>
              <w:t>深圳市</w:t>
            </w:r>
            <w:r>
              <w:rPr>
                <w:rFonts w:hint="eastAsia" w:ascii="宋体" w:hAnsi="宋体" w:eastAsia="宋体" w:cs="宋体"/>
                <w:b/>
                <w:bCs/>
                <w:kern w:val="0"/>
                <w:sz w:val="28"/>
                <w:szCs w:val="32"/>
                <w:lang w:eastAsia="zh-CN"/>
              </w:rPr>
              <w:t>生态产品价值</w:t>
            </w:r>
            <w:r>
              <w:rPr>
                <w:rFonts w:hint="eastAsia" w:ascii="宋体" w:hAnsi="宋体" w:eastAsia="宋体" w:cs="宋体"/>
                <w:b/>
                <w:bCs/>
                <w:kern w:val="0"/>
                <w:sz w:val="28"/>
                <w:szCs w:val="32"/>
              </w:rPr>
              <w:t>（GEP）核算统计报表制度</w:t>
            </w:r>
          </w:p>
          <w:p>
            <w:pPr>
              <w:numPr>
                <w:ilvl w:val="0"/>
                <w:numId w:val="2"/>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生态系统监测类数据表式（A类）</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各生态系统类型径流系数表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CN值</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各生态系统类型植被蒸腾量表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各生态系统类型固碳速率表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各生态系统类型土壤污染物含量表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各生态系统类型次降雨径流污染物平均浓度表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湿地单位面积水体净化量表</w:t>
            </w: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农林灌草单位面积空气净化量</w:t>
            </w:r>
          </w:p>
          <w:p>
            <w:pPr>
              <w:numPr>
                <w:ilvl w:val="0"/>
                <w:numId w:val="2"/>
              </w:numPr>
              <w:autoSpaceDE w:val="0"/>
              <w:autoSpaceDN w:val="0"/>
              <w:adjustRightInd w:val="0"/>
              <w:ind w:left="0" w:leftChars="0" w:firstLine="0" w:firstLine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环境与气象监测类数据表式（B类）</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植物参数类数据</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空气中主要污染物年平均浓度</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水土保持参数类数据</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气象基础数据</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降雨和气温监测列表数据</w:t>
            </w:r>
          </w:p>
          <w:p>
            <w:pPr>
              <w:numPr>
                <w:ilvl w:val="0"/>
                <w:numId w:val="2"/>
              </w:numPr>
              <w:autoSpaceDE w:val="0"/>
              <w:autoSpaceDN w:val="0"/>
              <w:adjustRightInd w:val="0"/>
              <w:ind w:left="0" w:leftChars="0" w:firstLine="0" w:firstLine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社会经济活动与定价类数据表式（C类）</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电价</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林业产品产量及产值情况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渔业产品产量及产值情况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海堤建设单位长度工程造价</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污染物治理成本</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碳排放权交易市场配额年均价格</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房屋交易情况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道路情况表</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供水企业供水量情况</w:t>
            </w:r>
            <w:r>
              <w:rPr>
                <w:rFonts w:hint="eastAsia" w:ascii="仿宋_GB2312" w:hAnsi="仿宋_GB2312" w:eastAsia="仿宋_GB2312" w:cs="仿宋_GB2312"/>
                <w:color w:val="000000"/>
                <w:sz w:val="24"/>
                <w:lang w:eastAsia="zh-CN"/>
              </w:rPr>
              <w:tab/>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水资源价格</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水库与海绵工程造价</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酒店接待和收入</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深圳市自然景观对酒店住宿收入贡献调查问卷</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景区接待和收入</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深圳市旅游景观支付意愿调查问卷</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医药费用</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农产品产量及产值情况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畜牧业产品产量及产值情况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市属公园年人流量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户籍人口分布情况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年末常住人口分布情况</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人身损害赔偿标准</w:t>
            </w:r>
          </w:p>
          <w:p>
            <w:pPr>
              <w:numPr>
                <w:ilvl w:val="0"/>
                <w:numId w:val="2"/>
              </w:numPr>
              <w:autoSpaceDE w:val="0"/>
              <w:autoSpaceDN w:val="0"/>
              <w:adjustRightInd w:val="0"/>
              <w:ind w:left="0" w:leftChars="0" w:firstLine="0" w:firstLine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地理信息类数据表式（D类）</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城市行政区划矢量数据(shp格式)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海洋海岸矢量类数据(shp格式)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数字高程栅格类数据(tif格式)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环境矢量类数据(shp格式)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生态环境栅格类数据(tif格式)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城市发展类矢量数据(shp格式)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公路线矢量数据(shp格式)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轨道铁路线矢量数据(shp格式)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水库信息点矢量类数据(shp格式)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市属公园矢量边界数据(shp格式)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近岸涉水深栅格数据(tif格式)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降雨和气温气象站点分布点矢量数据(shp格式)</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海岸风波监测点矢量数据(shp格式)</w:t>
            </w:r>
          </w:p>
        </w:tc>
        <w:tc>
          <w:tcPr>
            <w:tcW w:w="1792" w:type="dxa"/>
            <w:tcBorders>
              <w:tl2br w:val="nil"/>
              <w:tr2bl w:val="nil"/>
            </w:tcBorders>
            <w:vAlign w:val="center"/>
          </w:tcPr>
          <w:p>
            <w:pPr>
              <w:numPr>
                <w:ilvl w:val="0"/>
                <w:numId w:val="0"/>
              </w:numPr>
              <w:autoSpaceDE w:val="0"/>
              <w:autoSpaceDN w:val="0"/>
              <w:adjustRightInd w:val="0"/>
              <w:ind w:left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深圳市生态环境局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eastAsia="zh-CN"/>
              </w:rPr>
            </w:pPr>
          </w:p>
          <w:p>
            <w:pPr>
              <w:numPr>
                <w:ilvl w:val="0"/>
                <w:numId w:val="0"/>
              </w:numPr>
              <w:autoSpaceDE w:val="0"/>
              <w:autoSpaceDN w:val="0"/>
              <w:adjustRightInd w:val="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深环101表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102</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103</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104</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105</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106</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107</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108</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109</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110</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111</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112</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113</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114</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115</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116</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117</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118</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119</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120</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121</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122</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123</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124</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125</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126</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127</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128</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129</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130</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131</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132</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133</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134</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sz w:val="24"/>
                <w:lang w:val="en-US" w:eastAsia="zh-CN"/>
              </w:rPr>
              <w:t>135</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136</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137</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138</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139</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140</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141</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142</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143</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144</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145</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146</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147</w:t>
            </w:r>
            <w:r>
              <w:rPr>
                <w:rFonts w:hint="eastAsia" w:ascii="仿宋_GB2312" w:hAnsi="仿宋_GB2312" w:eastAsia="仿宋_GB2312" w:cs="仿宋_GB2312"/>
                <w:color w:val="000000"/>
                <w:kern w:val="0"/>
                <w:sz w:val="24"/>
              </w:rPr>
              <w:t>表</w:t>
            </w:r>
          </w:p>
          <w:p>
            <w:pPr>
              <w:numPr>
                <w:ilvl w:val="0"/>
                <w:numId w:val="0"/>
              </w:numPr>
              <w:autoSpaceDE w:val="0"/>
              <w:autoSpaceDN w:val="0"/>
              <w:adjustRightInd w:val="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sz w:val="24"/>
                <w:lang w:eastAsia="zh-CN"/>
              </w:rPr>
              <w:t>深环</w:t>
            </w:r>
            <w:r>
              <w:rPr>
                <w:rFonts w:hint="eastAsia" w:ascii="仿宋_GB2312" w:hAnsi="仿宋_GB2312" w:eastAsia="仿宋_GB2312" w:cs="仿宋_GB2312"/>
                <w:color w:val="000000"/>
                <w:kern w:val="0"/>
                <w:sz w:val="24"/>
                <w:lang w:val="en-US" w:eastAsia="zh-CN"/>
              </w:rPr>
              <w:t>148</w:t>
            </w:r>
            <w:r>
              <w:rPr>
                <w:rFonts w:hint="eastAsia" w:ascii="仿宋_GB2312" w:hAnsi="仿宋_GB2312" w:eastAsia="仿宋_GB2312" w:cs="仿宋_GB2312"/>
                <w:color w:val="000000"/>
                <w:kern w:val="0"/>
                <w:sz w:val="24"/>
              </w:rPr>
              <w:t>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深统法字〔2020〕7号</w:t>
            </w: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2020年10月12日;有效期至:2020年12月31日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8</w:t>
            </w:r>
          </w:p>
        </w:tc>
        <w:tc>
          <w:tcPr>
            <w:tcW w:w="5584" w:type="dxa"/>
            <w:tcBorders>
              <w:tl2br w:val="nil"/>
              <w:tr2bl w:val="nil"/>
            </w:tcBorders>
          </w:tcPr>
          <w:p>
            <w:pPr>
              <w:numPr>
                <w:ilvl w:val="0"/>
                <w:numId w:val="0"/>
              </w:numPr>
              <w:autoSpaceDE w:val="0"/>
              <w:autoSpaceDN w:val="0"/>
              <w:adjustRightInd w:val="0"/>
              <w:ind w:leftChars="0"/>
              <w:jc w:val="left"/>
              <w:rPr>
                <w:rFonts w:hint="eastAsia" w:ascii="宋体" w:hAnsi="宋体" w:eastAsia="宋体" w:cs="宋体"/>
                <w:b/>
                <w:bCs/>
                <w:kern w:val="0"/>
                <w:sz w:val="28"/>
                <w:szCs w:val="32"/>
                <w:lang w:eastAsia="zh-CN"/>
              </w:rPr>
            </w:pPr>
            <w:r>
              <w:rPr>
                <w:rFonts w:hint="eastAsia" w:ascii="宋体" w:hAnsi="宋体" w:eastAsia="宋体" w:cs="宋体"/>
                <w:b/>
                <w:bCs/>
                <w:kern w:val="0"/>
                <w:sz w:val="28"/>
                <w:szCs w:val="32"/>
                <w:lang w:eastAsia="zh-CN"/>
              </w:rPr>
              <w:t>深圳市市民健身状况调查及基本公共体育服务体系建设群众满意度调查制度</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val="en-US" w:eastAsia="zh-CN"/>
              </w:rPr>
              <w:t>2020年深圳市市民健身状况调查问卷</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深圳市基本公共体育服务体系建设群众满意度调查问卷（</w:t>
            </w:r>
            <w:r>
              <w:rPr>
                <w:rFonts w:hint="eastAsia" w:ascii="仿宋_GB2312" w:hAnsi="仿宋_GB2312" w:eastAsia="仿宋_GB2312" w:cs="仿宋_GB2312"/>
                <w:color w:val="000000"/>
                <w:kern w:val="0"/>
                <w:sz w:val="24"/>
                <w:lang w:val="en-US" w:eastAsia="zh-CN"/>
              </w:rPr>
              <w:t>健身场地、设施</w:t>
            </w:r>
            <w:r>
              <w:rPr>
                <w:rFonts w:hint="eastAsia" w:ascii="仿宋_GB2312" w:hAnsi="仿宋_GB2312" w:eastAsia="仿宋_GB2312" w:cs="仿宋_GB2312"/>
                <w:color w:val="000000"/>
                <w:kern w:val="0"/>
                <w:sz w:val="24"/>
                <w:lang w:eastAsia="zh-CN"/>
              </w:rPr>
              <w:t>）</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深圳市基本公共体育服务体系建设群众满意度调查问卷（</w:t>
            </w:r>
            <w:r>
              <w:rPr>
                <w:rFonts w:hint="eastAsia" w:ascii="仿宋_GB2312" w:hAnsi="仿宋_GB2312" w:eastAsia="仿宋_GB2312" w:cs="仿宋_GB2312"/>
                <w:color w:val="000000"/>
                <w:kern w:val="0"/>
                <w:sz w:val="24"/>
                <w:lang w:val="en-US" w:eastAsia="zh-CN"/>
              </w:rPr>
              <w:t>活动开展、信息宣传</w:t>
            </w:r>
            <w:r>
              <w:rPr>
                <w:rFonts w:hint="eastAsia" w:ascii="仿宋_GB2312" w:hAnsi="仿宋_GB2312" w:eastAsia="仿宋_GB2312" w:cs="仿宋_GB2312"/>
                <w:color w:val="000000"/>
                <w:kern w:val="0"/>
                <w:sz w:val="24"/>
                <w:lang w:eastAsia="zh-CN"/>
              </w:rPr>
              <w:t>）</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val="en-US" w:eastAsia="zh-CN"/>
              </w:rPr>
            </w:pPr>
            <w:r>
              <w:rPr>
                <w:rFonts w:hint="eastAsia" w:ascii="仿宋_GB2312" w:hAnsi="仿宋_GB2312" w:eastAsia="仿宋_GB2312" w:cs="仿宋_GB2312"/>
                <w:color w:val="000000"/>
                <w:kern w:val="0"/>
                <w:sz w:val="24"/>
                <w:lang w:eastAsia="zh-CN"/>
              </w:rPr>
              <w:t>深圳市基本公共体育服务体系建设群众满意度调查问卷（</w:t>
            </w:r>
            <w:r>
              <w:rPr>
                <w:rFonts w:hint="eastAsia" w:ascii="仿宋_GB2312" w:hAnsi="仿宋_GB2312" w:eastAsia="仿宋_GB2312" w:cs="仿宋_GB2312"/>
                <w:color w:val="000000"/>
                <w:kern w:val="0"/>
                <w:sz w:val="24"/>
                <w:lang w:val="en-US" w:eastAsia="zh-CN"/>
              </w:rPr>
              <w:t>健身指导服务</w:t>
            </w:r>
            <w:r>
              <w:rPr>
                <w:rFonts w:hint="eastAsia" w:ascii="仿宋_GB2312" w:hAnsi="仿宋_GB2312" w:eastAsia="仿宋_GB2312" w:cs="仿宋_GB2312"/>
                <w:color w:val="000000"/>
                <w:kern w:val="0"/>
                <w:sz w:val="24"/>
                <w:lang w:eastAsia="zh-CN"/>
              </w:rPr>
              <w:t>）</w:t>
            </w:r>
          </w:p>
        </w:tc>
        <w:tc>
          <w:tcPr>
            <w:tcW w:w="1792" w:type="dxa"/>
            <w:tcBorders>
              <w:tl2br w:val="nil"/>
              <w:tr2bl w:val="nil"/>
            </w:tcBorders>
            <w:vAlign w:val="center"/>
          </w:tcPr>
          <w:p>
            <w:pPr>
              <w:numPr>
                <w:ilvl w:val="0"/>
                <w:numId w:val="0"/>
              </w:numPr>
              <w:autoSpaceDE w:val="0"/>
              <w:autoSpaceDN w:val="0"/>
              <w:adjustRightInd w:val="0"/>
              <w:ind w:left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深圳市文化广电旅游体育局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深文201表</w:t>
            </w:r>
          </w:p>
          <w:p>
            <w:pPr>
              <w:numPr>
                <w:ilvl w:val="0"/>
                <w:numId w:val="0"/>
              </w:numPr>
              <w:autoSpaceDE w:val="0"/>
              <w:autoSpaceDN w:val="0"/>
              <w:adjustRightInd w:val="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深文202表</w:t>
            </w:r>
          </w:p>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深文20</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表</w:t>
            </w:r>
          </w:p>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深文20</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深统法字〔2020〕8号</w:t>
            </w: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2020年10月23日;有效期至:2021年1月31日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9</w:t>
            </w:r>
          </w:p>
        </w:tc>
        <w:tc>
          <w:tcPr>
            <w:tcW w:w="5584" w:type="dxa"/>
            <w:tcBorders>
              <w:tl2br w:val="nil"/>
              <w:tr2bl w:val="nil"/>
            </w:tcBorders>
          </w:tcPr>
          <w:p>
            <w:pPr>
              <w:numPr>
                <w:ilvl w:val="0"/>
                <w:numId w:val="0"/>
              </w:numPr>
              <w:autoSpaceDE w:val="0"/>
              <w:autoSpaceDN w:val="0"/>
              <w:adjustRightInd w:val="0"/>
              <w:ind w:leftChars="0"/>
              <w:jc w:val="left"/>
              <w:rPr>
                <w:rFonts w:hint="eastAsia" w:ascii="宋体" w:hAnsi="宋体" w:eastAsia="宋体" w:cs="宋体"/>
                <w:b/>
                <w:bCs/>
                <w:kern w:val="0"/>
                <w:sz w:val="28"/>
                <w:szCs w:val="32"/>
                <w:lang w:val="en-US" w:eastAsia="zh-CN"/>
              </w:rPr>
            </w:pPr>
            <w:r>
              <w:rPr>
                <w:rFonts w:hint="eastAsia" w:ascii="宋体" w:hAnsi="宋体" w:eastAsia="宋体" w:cs="宋体"/>
                <w:b/>
                <w:bCs/>
                <w:kern w:val="0"/>
                <w:sz w:val="28"/>
                <w:szCs w:val="32"/>
                <w:lang w:val="en-US" w:eastAsia="zh-CN"/>
              </w:rPr>
              <w:t>深圳市电子商务统计报表制度</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企业基本情况表（年报）</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电子商务应用情况表（年报）</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电子商务经营情况表（年报）</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电子商务园区情况表（年报）</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海外仓情况表（年报）</w:t>
            </w:r>
          </w:p>
          <w:p>
            <w:pPr>
              <w:numPr>
                <w:ilvl w:val="0"/>
                <w:numId w:val="0"/>
              </w:numPr>
              <w:autoSpaceDE w:val="0"/>
              <w:autoSpaceDN w:val="0"/>
              <w:adjustRightInd w:val="0"/>
              <w:ind w:leftChars="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000000"/>
                <w:kern w:val="0"/>
                <w:sz w:val="24"/>
                <w:lang w:eastAsia="zh-CN"/>
              </w:rPr>
              <w:t>电子商务经营情况表（月报）</w:t>
            </w:r>
          </w:p>
        </w:tc>
        <w:tc>
          <w:tcPr>
            <w:tcW w:w="1792" w:type="dxa"/>
            <w:tcBorders>
              <w:tl2br w:val="nil"/>
              <w:tr2bl w:val="nil"/>
            </w:tcBorders>
            <w:vAlign w:val="center"/>
          </w:tcPr>
          <w:p>
            <w:pPr>
              <w:numPr>
                <w:ilvl w:val="0"/>
                <w:numId w:val="0"/>
              </w:numPr>
              <w:autoSpaceDE w:val="0"/>
              <w:autoSpaceDN w:val="0"/>
              <w:adjustRightInd w:val="0"/>
              <w:ind w:left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深圳市商务局</w:t>
            </w:r>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color w:val="000000"/>
                <w:sz w:val="24"/>
              </w:rPr>
            </w:pPr>
          </w:p>
          <w:p>
            <w:pPr>
              <w:numPr>
                <w:ilvl w:val="0"/>
                <w:numId w:val="0"/>
              </w:numPr>
              <w:autoSpaceDE w:val="0"/>
              <w:autoSpaceDN w:val="0"/>
              <w:adjustRightInd w:val="0"/>
              <w:ind w:leftChars="0"/>
              <w:jc w:val="left"/>
              <w:rPr>
                <w:rFonts w:hint="eastAsia" w:ascii="仿宋_GB2312" w:hAnsi="仿宋_GB2312" w:eastAsia="仿宋_GB2312" w:cs="仿宋_GB2312"/>
                <w:color w:val="000000"/>
                <w:sz w:val="24"/>
                <w:lang w:eastAsia="zh-CN"/>
              </w:rPr>
            </w:pP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深商务101表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深商务102表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深商务103表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深商务104表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深商务105表</w:t>
            </w:r>
          </w:p>
          <w:p>
            <w:pPr>
              <w:numPr>
                <w:ilvl w:val="0"/>
                <w:numId w:val="0"/>
              </w:numPr>
              <w:autoSpaceDE w:val="0"/>
              <w:autoSpaceDN w:val="0"/>
              <w:adjustRightInd w:val="0"/>
              <w:ind w:leftChars="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深商务106表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深统法字〔2020〕9号</w:t>
            </w: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w:t>
            </w:r>
          </w:p>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2020年12月17日;有效期至:2022年1月31日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986" w:type="dxa"/>
            <w:tcBorders>
              <w:tl2br w:val="nil"/>
              <w:tr2bl w:val="nil"/>
            </w:tcBorders>
            <w:vAlign w:val="center"/>
          </w:tcPr>
          <w:p>
            <w:pPr>
              <w:jc w:val="center"/>
              <w:rPr>
                <w:rFonts w:hint="default" w:ascii="Times New Roman" w:hAnsi="Times New Roman" w:eastAsia="宋体" w:cs="Times New Roman"/>
                <w:kern w:val="0"/>
                <w:sz w:val="28"/>
                <w:szCs w:val="36"/>
                <w:lang w:val="en-US" w:eastAsia="zh-CN"/>
              </w:rPr>
            </w:pPr>
            <w:r>
              <w:rPr>
                <w:rFonts w:hint="eastAsia" w:ascii="Times New Roman" w:hAnsi="Times New Roman" w:eastAsia="宋体" w:cs="Times New Roman"/>
                <w:kern w:val="0"/>
                <w:sz w:val="28"/>
                <w:szCs w:val="36"/>
                <w:lang w:val="en-US" w:eastAsia="zh-CN"/>
              </w:rPr>
              <w:t>10</w:t>
            </w:r>
          </w:p>
        </w:tc>
        <w:tc>
          <w:tcPr>
            <w:tcW w:w="5584" w:type="dxa"/>
            <w:tcBorders>
              <w:tl2br w:val="nil"/>
              <w:tr2bl w:val="nil"/>
            </w:tcBorders>
          </w:tcPr>
          <w:p>
            <w:pPr>
              <w:numPr>
                <w:ilvl w:val="0"/>
                <w:numId w:val="0"/>
              </w:numPr>
              <w:autoSpaceDE w:val="0"/>
              <w:autoSpaceDN w:val="0"/>
              <w:adjustRightInd w:val="0"/>
              <w:ind w:leftChars="0"/>
              <w:jc w:val="left"/>
              <w:rPr>
                <w:rFonts w:hint="eastAsia" w:ascii="宋体" w:hAnsi="宋体" w:eastAsia="宋体" w:cs="宋体"/>
                <w:b/>
                <w:bCs/>
                <w:kern w:val="0"/>
                <w:sz w:val="28"/>
                <w:szCs w:val="32"/>
                <w:lang w:val="en-US" w:eastAsia="zh-CN"/>
              </w:rPr>
            </w:pPr>
            <w:r>
              <w:rPr>
                <w:rFonts w:hint="eastAsia" w:ascii="宋体" w:hAnsi="宋体" w:eastAsia="宋体" w:cs="宋体"/>
                <w:b/>
                <w:bCs/>
                <w:kern w:val="0"/>
                <w:sz w:val="28"/>
                <w:szCs w:val="32"/>
                <w:lang w:val="en-US" w:eastAsia="zh-CN"/>
              </w:rPr>
              <w:t>深圳市海洋经济统计调查表</w:t>
            </w:r>
          </w:p>
          <w:p>
            <w:pPr>
              <w:numPr>
                <w:ilvl w:val="0"/>
                <w:numId w:val="3"/>
              </w:numPr>
              <w:autoSpaceDE w:val="0"/>
              <w:autoSpaceDN w:val="0"/>
              <w:adjustRightInd w:val="0"/>
              <w:ind w:left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通用报表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单位基本情况表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涉海法人单位财务状况-工业企业</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涉海法人单位财务状况-建筑业企业</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涉海法人单位财务状况-服务业企业</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涉海法人单位财务状况-批发和零售、住宿和餐饮业企业</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海洋法人单位（企业）财务状况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海洋法人单位（行政事业单位）财务状况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涉海企业情况-创新示范企业</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涉海企业科研情况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涉海工业企业创新情况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涉海建筑业企业创新情况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涉海服务业企业创新情况</w:t>
            </w:r>
          </w:p>
          <w:p>
            <w:pPr>
              <w:numPr>
                <w:ilvl w:val="0"/>
                <w:numId w:val="3"/>
              </w:numPr>
              <w:autoSpaceDE w:val="0"/>
              <w:autoSpaceDN w:val="0"/>
              <w:adjustRightInd w:val="0"/>
              <w:ind w:left="0" w:leftChars="0"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业务报表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海洋渔业基本情况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海洋油气企业生产情况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海水利用情况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海水利用项目情况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海洋交通运输基本情况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海洋交通运输企业经营情况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海洋旅游业基本情况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海洋工程建筑项目情况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海洋工程建筑企业生产情况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重点园区（项目）科技创新情况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海洋矿业企业生产情况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海洋化工企业生产情况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海洋化工企业原料使用情况表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海洋药物和生物制品企业生产情况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海洋可再生能源利用企业生产情况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海洋工程装备制造业生产情况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海洋水产品加工企业基本情况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海上风电企业基本情况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海洋电子信息企业基本情况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海洋船舶企业生产情况</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其他海洋产业情况</w:t>
            </w:r>
          </w:p>
          <w:p>
            <w:pPr>
              <w:numPr>
                <w:ilvl w:val="0"/>
                <w:numId w:val="0"/>
              </w:numPr>
              <w:autoSpaceDE w:val="0"/>
              <w:autoSpaceDN w:val="0"/>
              <w:adjustRightInd w:val="0"/>
              <w:ind w:left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color w:val="000000"/>
                <w:kern w:val="0"/>
                <w:sz w:val="24"/>
                <w:lang w:eastAsia="zh-CN"/>
              </w:rPr>
              <w:t>涉海法人单位科技活动情况</w:t>
            </w:r>
          </w:p>
        </w:tc>
        <w:tc>
          <w:tcPr>
            <w:tcW w:w="1792" w:type="dxa"/>
            <w:tcBorders>
              <w:tl2br w:val="nil"/>
              <w:tr2bl w:val="nil"/>
            </w:tcBorders>
            <w:vAlign w:val="center"/>
          </w:tcPr>
          <w:p>
            <w:pPr>
              <w:numPr>
                <w:ilvl w:val="0"/>
                <w:numId w:val="0"/>
              </w:numPr>
              <w:autoSpaceDE w:val="0"/>
              <w:autoSpaceDN w:val="0"/>
              <w:adjustRightInd w:val="0"/>
              <w:ind w:leftChar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深圳市海洋渔业局</w:t>
            </w:r>
            <w:bookmarkStart w:id="0" w:name="_GoBack"/>
            <w:bookmarkEnd w:id="0"/>
          </w:p>
        </w:tc>
        <w:tc>
          <w:tcPr>
            <w:tcW w:w="2198" w:type="dxa"/>
            <w:tcBorders>
              <w:tl2br w:val="nil"/>
              <w:tr2bl w:val="nil"/>
            </w:tcBorders>
            <w:vAlign w:val="top"/>
          </w:tcPr>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p>
          <w:p>
            <w:pPr>
              <w:numPr>
                <w:ilvl w:val="0"/>
                <w:numId w:val="0"/>
              </w:numPr>
              <w:autoSpaceDE w:val="0"/>
              <w:autoSpaceDN w:val="0"/>
              <w:adjustRightInd w:val="0"/>
              <w:jc w:val="left"/>
              <w:rPr>
                <w:rFonts w:hint="eastAsia" w:ascii="仿宋_GB2312" w:hAnsi="仿宋_GB2312" w:eastAsia="仿宋_GB2312" w:cs="仿宋_GB2312"/>
                <w:color w:val="000000"/>
                <w:sz w:val="24"/>
                <w:lang w:eastAsia="zh-CN"/>
              </w:rPr>
            </w:pP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深海渔101表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深海渔102表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深海渔103表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深海渔104表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深海渔105表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深海渔106表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深海渔107表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深海渔108表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深海渔109表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深海渔110表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深海渔111表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深海渔112表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深海渔113表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深海渔114表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深海渔115表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深海渔116表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深海渔117表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深海渔118表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深海渔119表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深海渔120表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深海渔121表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深海渔122表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深海渔123表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深海渔124表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深海渔125表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深海渔126表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深海渔127表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深海渔128表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深海渔129表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深海渔130表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深海渔131表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深海渔132表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深海渔133表</w:t>
            </w:r>
          </w:p>
          <w:p>
            <w:pPr>
              <w:numPr>
                <w:ilvl w:val="0"/>
                <w:numId w:val="0"/>
              </w:numPr>
              <w:autoSpaceDE w:val="0"/>
              <w:autoSpaceDN w:val="0"/>
              <w:adjustRightInd w:val="0"/>
              <w:ind w:leftChars="0"/>
              <w:jc w:val="left"/>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深海渔134表</w:t>
            </w:r>
          </w:p>
        </w:tc>
        <w:tc>
          <w:tcPr>
            <w:tcW w:w="2136" w:type="dxa"/>
            <w:tcBorders>
              <w:tl2br w:val="nil"/>
              <w:tr2bl w:val="nil"/>
            </w:tcBorders>
            <w:vAlign w:val="center"/>
          </w:tcPr>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深统法字〔2020〕10号</w:t>
            </w:r>
          </w:p>
          <w:p>
            <w:pPr>
              <w:numPr>
                <w:ilvl w:val="0"/>
                <w:numId w:val="0"/>
              </w:numPr>
              <w:autoSpaceDE w:val="0"/>
              <w:autoSpaceDN w:val="0"/>
              <w:adjustRightInd w:val="0"/>
              <w:jc w:val="center"/>
              <w:rPr>
                <w:rFonts w:hint="eastAsia" w:ascii="仿宋_GB2312" w:hAnsi="仿宋_GB2312" w:eastAsia="仿宋_GB2312" w:cs="仿宋_GB2312"/>
                <w:kern w:val="0"/>
                <w:sz w:val="24"/>
                <w:szCs w:val="24"/>
                <w:lang w:val="en-US" w:eastAsia="zh-CN"/>
              </w:rPr>
            </w:pPr>
          </w:p>
        </w:tc>
        <w:tc>
          <w:tcPr>
            <w:tcW w:w="1478" w:type="dxa"/>
            <w:tcBorders>
              <w:tl2br w:val="nil"/>
              <w:tr2bl w:val="nil"/>
            </w:tcBorders>
            <w:vAlign w:val="center"/>
          </w:tcPr>
          <w:p>
            <w:pPr>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批准时间:2020年12月29日；有效期至：2021年7月31日（年报）、          2022年1月31日（季报、月报）</w:t>
            </w: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A1B90"/>
    <w:multiLevelType w:val="singleLevel"/>
    <w:tmpl w:val="8A8A1B90"/>
    <w:lvl w:ilvl="0" w:tentative="0">
      <w:start w:val="1"/>
      <w:numFmt w:val="chineseCounting"/>
      <w:suff w:val="nothing"/>
      <w:lvlText w:val="（%1）"/>
      <w:lvlJc w:val="left"/>
      <w:rPr>
        <w:rFonts w:hint="eastAsia"/>
      </w:rPr>
    </w:lvl>
  </w:abstractNum>
  <w:abstractNum w:abstractNumId="1">
    <w:nsid w:val="A42ED925"/>
    <w:multiLevelType w:val="singleLevel"/>
    <w:tmpl w:val="A42ED925"/>
    <w:lvl w:ilvl="0" w:tentative="0">
      <w:start w:val="1"/>
      <w:numFmt w:val="chineseCounting"/>
      <w:suff w:val="nothing"/>
      <w:lvlText w:val="（%1）"/>
      <w:lvlJc w:val="left"/>
      <w:rPr>
        <w:rFonts w:hint="eastAsia"/>
      </w:rPr>
    </w:lvl>
  </w:abstractNum>
  <w:abstractNum w:abstractNumId="2">
    <w:nsid w:val="66E11040"/>
    <w:multiLevelType w:val="singleLevel"/>
    <w:tmpl w:val="66E1104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5557CE7"/>
    <w:rsid w:val="141906E0"/>
    <w:rsid w:val="162C03C4"/>
    <w:rsid w:val="1DCD422B"/>
    <w:rsid w:val="29913075"/>
    <w:rsid w:val="2A46778C"/>
    <w:rsid w:val="3A4C287E"/>
    <w:rsid w:val="3C4F7EC1"/>
    <w:rsid w:val="3DE071D3"/>
    <w:rsid w:val="445D6282"/>
    <w:rsid w:val="481C4EEF"/>
    <w:rsid w:val="494A71FC"/>
    <w:rsid w:val="4CD75D27"/>
    <w:rsid w:val="4EE62F64"/>
    <w:rsid w:val="5505384E"/>
    <w:rsid w:val="56D619F7"/>
    <w:rsid w:val="58ED23EB"/>
    <w:rsid w:val="5BAB6245"/>
    <w:rsid w:val="6B467D0A"/>
    <w:rsid w:val="6F812639"/>
    <w:rsid w:val="7750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2020-04-08T01:45:00Z</dcterms:created>
  <dc:creator>汪红艳</dc:creator>
  <cp:lastModifiedBy>汪红艳</cp:lastModifiedBy>
  <cp:lastPrinted>2020-09-28T02:09:00Z</cp:lastPrinted>
  <dcterms:modified xsi:type="dcterms:W3CDTF">2020-12-30T07:58:44Z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