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bookmarkStart w:id="0" w:name="_GoBack"/>
      <w:bookmarkEnd w:id="0"/>
      <w:r>
        <w:rPr>
          <w:rFonts w:hint="eastAsia"/>
          <w:sz w:val="44"/>
          <w:szCs w:val="44"/>
        </w:rPr>
        <w:t>深圳市政协</w:t>
      </w:r>
      <w:r>
        <w:rPr>
          <w:sz w:val="44"/>
          <w:szCs w:val="44"/>
        </w:rPr>
        <w:t>20</w:t>
      </w:r>
      <w:r>
        <w:rPr>
          <w:rFonts w:hint="eastAsia"/>
          <w:sz w:val="44"/>
          <w:szCs w:val="44"/>
        </w:rPr>
        <w:t>2</w:t>
      </w:r>
      <w:r>
        <w:rPr>
          <w:rFonts w:hint="eastAsia"/>
          <w:sz w:val="44"/>
          <w:szCs w:val="44"/>
          <w:lang w:val="en-US" w:eastAsia="zh-CN"/>
        </w:rPr>
        <w:t>2</w:t>
      </w:r>
      <w:r>
        <w:rPr>
          <w:rFonts w:hint="eastAsia"/>
          <w:sz w:val="44"/>
          <w:szCs w:val="44"/>
        </w:rPr>
        <w:t>年提案工作清单</w:t>
      </w:r>
    </w:p>
    <w:p>
      <w:pPr>
        <w:jc w:val="left"/>
        <w:rPr>
          <w:sz w:val="24"/>
          <w:szCs w:val="24"/>
        </w:rPr>
      </w:pPr>
    </w:p>
    <w:p>
      <w:pPr>
        <w:jc w:val="left"/>
        <w:rPr>
          <w:sz w:val="24"/>
          <w:szCs w:val="24"/>
        </w:rPr>
      </w:pPr>
      <w:r>
        <w:rPr>
          <w:rFonts w:hint="eastAsia"/>
          <w:sz w:val="24"/>
          <w:szCs w:val="24"/>
        </w:rPr>
        <w:t>填报单位：</w:t>
      </w:r>
      <w:r>
        <w:rPr>
          <w:sz w:val="24"/>
          <w:szCs w:val="24"/>
        </w:rPr>
        <w:t xml:space="preserve">深圳市统计局                                                                     </w:t>
      </w:r>
      <w:r>
        <w:rPr>
          <w:rFonts w:hint="eastAsia"/>
          <w:sz w:val="24"/>
          <w:szCs w:val="24"/>
        </w:rPr>
        <w:t>时间：</w:t>
      </w:r>
      <w:r>
        <w:rPr>
          <w:sz w:val="24"/>
          <w:szCs w:val="24"/>
        </w:rPr>
        <w:t>2</w:t>
      </w:r>
      <w:r>
        <w:rPr>
          <w:rFonts w:hint="eastAsia"/>
          <w:sz w:val="24"/>
          <w:szCs w:val="24"/>
        </w:rPr>
        <w:t>02</w:t>
      </w:r>
      <w:r>
        <w:rPr>
          <w:rFonts w:hint="eastAsia"/>
          <w:sz w:val="24"/>
          <w:szCs w:val="24"/>
          <w:lang w:val="en-US" w:eastAsia="zh-CN"/>
        </w:rPr>
        <w:t>2</w:t>
      </w:r>
      <w:r>
        <w:rPr>
          <w:rFonts w:hint="eastAsia"/>
          <w:sz w:val="24"/>
          <w:szCs w:val="24"/>
        </w:rPr>
        <w:t>年</w:t>
      </w:r>
      <w:r>
        <w:rPr>
          <w:rFonts w:hint="default"/>
          <w:sz w:val="24"/>
          <w:szCs w:val="24"/>
        </w:rPr>
        <w:t>8</w:t>
      </w:r>
      <w:r>
        <w:rPr>
          <w:rFonts w:hint="eastAsia"/>
          <w:sz w:val="24"/>
          <w:szCs w:val="24"/>
        </w:rPr>
        <w:t>月</w:t>
      </w:r>
      <w:r>
        <w:rPr>
          <w:rFonts w:hint="default"/>
          <w:sz w:val="24"/>
          <w:szCs w:val="24"/>
        </w:rPr>
        <w:t>23</w:t>
      </w:r>
      <w:r>
        <w:rPr>
          <w:rFonts w:hint="eastAsia"/>
          <w:sz w:val="24"/>
          <w:szCs w:val="24"/>
        </w:rPr>
        <w:t>日</w:t>
      </w:r>
    </w:p>
    <w:p>
      <w:pPr>
        <w:jc w:val="left"/>
        <w:rPr>
          <w:sz w:val="24"/>
          <w:szCs w:val="24"/>
        </w:rPr>
      </w:pPr>
    </w:p>
    <w:tbl>
      <w:tblPr>
        <w:tblStyle w:val="2"/>
        <w:tblW w:w="144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0"/>
        <w:gridCol w:w="1135"/>
        <w:gridCol w:w="851"/>
        <w:gridCol w:w="1229"/>
        <w:gridCol w:w="1324"/>
        <w:gridCol w:w="1969"/>
        <w:gridCol w:w="1984"/>
        <w:gridCol w:w="1843"/>
        <w:gridCol w:w="1843"/>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83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pPr>
            <w:r>
              <w:rPr>
                <w:rFonts w:hint="eastAsia" w:ascii="黑体" w:hAnsi="黑体" w:eastAsia="黑体"/>
                <w:b/>
                <w:kern w:val="0"/>
                <w:szCs w:val="21"/>
              </w:rPr>
              <w:t>提案案号</w:t>
            </w:r>
            <w:r>
              <w:rPr>
                <w:rFonts w:hint="default" w:ascii="黑体" w:hAnsi="黑体" w:eastAsia="黑体"/>
                <w:b/>
                <w:kern w:val="0"/>
                <w:szCs w:val="21"/>
              </w:rPr>
              <w:t>：</w:t>
            </w:r>
            <w:r>
              <w:rPr>
                <w:rFonts w:hint="eastAsia" w:ascii="华文仿宋" w:hAnsi="华文仿宋" w:eastAsia="华文仿宋" w:cs="华文仿宋"/>
                <w:i w:val="0"/>
                <w:iCs w:val="0"/>
                <w:caps w:val="0"/>
                <w:color w:val="000000"/>
                <w:spacing w:val="0"/>
                <w:kern w:val="0"/>
                <w:sz w:val="21"/>
                <w:szCs w:val="21"/>
                <w:shd w:val="clear" w:color="auto" w:fill="FFFFFF"/>
                <w:lang w:val="en-US" w:eastAsia="zh-CN" w:bidi="ar"/>
              </w:rPr>
              <w:t>20220506</w:t>
            </w:r>
          </w:p>
          <w:p>
            <w:pPr>
              <w:jc w:val="center"/>
              <w:rPr>
                <w:rFonts w:hint="default" w:ascii="黑体" w:hAnsi="黑体" w:eastAsia="黑体"/>
                <w:b/>
                <w:kern w:val="0"/>
                <w:szCs w:val="21"/>
              </w:rPr>
            </w:pPr>
          </w:p>
        </w:tc>
        <w:tc>
          <w:tcPr>
            <w:tcW w:w="11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pPr>
            <w:r>
              <w:rPr>
                <w:rFonts w:hint="eastAsia" w:ascii="黑体" w:hAnsi="黑体" w:eastAsia="黑体"/>
                <w:b/>
                <w:kern w:val="0"/>
                <w:szCs w:val="21"/>
              </w:rPr>
              <w:t>案由</w:t>
            </w:r>
            <w:r>
              <w:rPr>
                <w:rFonts w:hint="default" w:ascii="黑体" w:hAnsi="黑体" w:eastAsia="黑体"/>
                <w:b/>
                <w:kern w:val="0"/>
                <w:szCs w:val="21"/>
              </w:rPr>
              <w:t>：</w:t>
            </w:r>
            <w:r>
              <w:rPr>
                <w:rFonts w:hint="eastAsia" w:ascii="华文仿宋" w:hAnsi="华文仿宋" w:eastAsia="华文仿宋" w:cs="华文仿宋"/>
                <w:b w:val="0"/>
                <w:bCs w:val="0"/>
                <w:i w:val="0"/>
                <w:iCs w:val="0"/>
                <w:caps w:val="0"/>
                <w:spacing w:val="0"/>
                <w:kern w:val="0"/>
                <w:sz w:val="21"/>
                <w:szCs w:val="21"/>
                <w:shd w:val="clear" w:color="auto" w:fill="FFFFFF"/>
                <w:lang w:val="en-US" w:eastAsia="zh-CN" w:bidi="ar"/>
              </w:rPr>
              <w:t>关于采用合理统计口径，扶持零售服务业持续健康发展的建议</w:t>
            </w:r>
          </w:p>
          <w:p>
            <w:pPr>
              <w:jc w:val="center"/>
              <w:rPr>
                <w:rFonts w:hint="default" w:ascii="黑体" w:hAnsi="黑体" w:eastAsia="黑体"/>
                <w:b/>
                <w:kern w:val="0"/>
                <w:szCs w:val="21"/>
              </w:rPr>
            </w:pPr>
          </w:p>
        </w:tc>
        <w:tc>
          <w:tcPr>
            <w:tcW w:w="85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华文仿宋" w:hAnsi="华文仿宋" w:eastAsia="华文仿宋" w:cs="华文仿宋"/>
                <w:b w:val="0"/>
                <w:bCs w:val="0"/>
                <w:i w:val="0"/>
                <w:iCs w:val="0"/>
                <w:caps w:val="0"/>
                <w:spacing w:val="0"/>
                <w:kern w:val="0"/>
                <w:sz w:val="21"/>
                <w:szCs w:val="21"/>
                <w:shd w:val="clear" w:color="auto" w:fill="FFFFFF"/>
                <w:lang w:val="en-US" w:eastAsia="zh-CN" w:bidi="ar"/>
              </w:rPr>
            </w:pPr>
            <w:r>
              <w:rPr>
                <w:rFonts w:hint="eastAsia" w:ascii="黑体" w:hAnsi="黑体" w:eastAsia="黑体"/>
                <w:b/>
                <w:kern w:val="0"/>
                <w:szCs w:val="21"/>
              </w:rPr>
              <w:t>第一提案人</w:t>
            </w:r>
            <w:r>
              <w:rPr>
                <w:rFonts w:hint="default" w:ascii="黑体" w:hAnsi="黑体" w:eastAsia="黑体"/>
                <w:b/>
                <w:kern w:val="0"/>
                <w:szCs w:val="21"/>
              </w:rPr>
              <w:t>：</w:t>
            </w:r>
            <w:r>
              <w:rPr>
                <w:rFonts w:hint="eastAsia" w:ascii="华文仿宋" w:hAnsi="华文仿宋" w:eastAsia="华文仿宋" w:cs="华文仿宋"/>
                <w:b w:val="0"/>
                <w:bCs w:val="0"/>
                <w:i w:val="0"/>
                <w:iCs w:val="0"/>
                <w:caps w:val="0"/>
                <w:spacing w:val="0"/>
                <w:kern w:val="0"/>
                <w:sz w:val="21"/>
                <w:szCs w:val="21"/>
                <w:shd w:val="clear" w:color="auto" w:fill="FFFFFF"/>
                <w:lang w:val="en-US" w:eastAsia="zh-CN" w:bidi="ar"/>
              </w:rPr>
              <w:t>涂尔帆</w:t>
            </w:r>
          </w:p>
          <w:p>
            <w:pPr>
              <w:jc w:val="center"/>
              <w:rPr>
                <w:rFonts w:hint="default" w:ascii="黑体" w:hAnsi="黑体" w:eastAsia="黑体"/>
                <w:b/>
                <w:kern w:val="0"/>
                <w:szCs w:val="21"/>
              </w:rPr>
            </w:pPr>
          </w:p>
        </w:tc>
        <w:tc>
          <w:tcPr>
            <w:tcW w:w="255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kern w:val="0"/>
                <w:szCs w:val="21"/>
              </w:rPr>
            </w:pPr>
            <w:r>
              <w:rPr>
                <w:rFonts w:hint="eastAsia" w:ascii="黑体" w:hAnsi="黑体" w:eastAsia="黑体"/>
                <w:b/>
                <w:kern w:val="0"/>
                <w:szCs w:val="21"/>
              </w:rPr>
              <w:t>办理单位</w:t>
            </w:r>
          </w:p>
        </w:tc>
        <w:tc>
          <w:tcPr>
            <w:tcW w:w="1969"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kern w:val="0"/>
                <w:szCs w:val="21"/>
              </w:rPr>
            </w:pPr>
            <w:r>
              <w:rPr>
                <w:rFonts w:hint="eastAsia" w:ascii="黑体" w:hAnsi="黑体" w:eastAsia="黑体"/>
                <w:b/>
                <w:kern w:val="0"/>
                <w:szCs w:val="21"/>
              </w:rPr>
              <w:t>提案意见建议</w:t>
            </w:r>
          </w:p>
        </w:tc>
        <w:tc>
          <w:tcPr>
            <w:tcW w:w="198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kern w:val="0"/>
                <w:szCs w:val="21"/>
              </w:rPr>
            </w:pPr>
            <w:r>
              <w:rPr>
                <w:rFonts w:hint="eastAsia" w:ascii="黑体" w:hAnsi="黑体" w:eastAsia="黑体"/>
                <w:b/>
                <w:kern w:val="0"/>
                <w:szCs w:val="21"/>
              </w:rPr>
              <w:t>当年完成的事项</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kern w:val="0"/>
                <w:szCs w:val="21"/>
              </w:rPr>
            </w:pPr>
            <w:r>
              <w:rPr>
                <w:rFonts w:hint="eastAsia" w:ascii="黑体" w:hAnsi="黑体" w:eastAsia="黑体"/>
                <w:b/>
                <w:kern w:val="0"/>
                <w:szCs w:val="21"/>
              </w:rPr>
              <w:t>当年推动的工作</w:t>
            </w:r>
          </w:p>
        </w:tc>
        <w:tc>
          <w:tcPr>
            <w:tcW w:w="184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kern w:val="0"/>
                <w:szCs w:val="21"/>
              </w:rPr>
            </w:pPr>
            <w:r>
              <w:rPr>
                <w:rFonts w:hint="eastAsia" w:ascii="黑体" w:hAnsi="黑体" w:eastAsia="黑体"/>
                <w:b/>
                <w:kern w:val="0"/>
                <w:szCs w:val="21"/>
              </w:rPr>
              <w:t>明年待落实事项</w:t>
            </w:r>
          </w:p>
        </w:tc>
        <w:tc>
          <w:tcPr>
            <w:tcW w:w="143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kern w:val="0"/>
                <w:szCs w:val="21"/>
              </w:rPr>
            </w:pPr>
            <w:r>
              <w:rPr>
                <w:rFonts w:hint="eastAsia" w:ascii="黑体" w:hAnsi="黑体" w:eastAsia="黑体"/>
                <w:b/>
                <w:kern w:val="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kern w:val="0"/>
                <w:szCs w:val="21"/>
              </w:rPr>
            </w:pPr>
          </w:p>
        </w:tc>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kern w:val="0"/>
                <w:szCs w:val="21"/>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kern w:val="0"/>
                <w:szCs w:val="21"/>
              </w:rPr>
            </w:pPr>
          </w:p>
        </w:tc>
        <w:tc>
          <w:tcPr>
            <w:tcW w:w="122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kern w:val="0"/>
                <w:szCs w:val="21"/>
              </w:rPr>
            </w:pPr>
            <w:r>
              <w:rPr>
                <w:rFonts w:hint="eastAsia" w:ascii="黑体" w:hAnsi="黑体" w:eastAsia="黑体"/>
                <w:b/>
                <w:kern w:val="0"/>
                <w:szCs w:val="21"/>
              </w:rPr>
              <w:t>承办</w:t>
            </w:r>
          </w:p>
          <w:p>
            <w:pPr>
              <w:jc w:val="center"/>
              <w:rPr>
                <w:rFonts w:ascii="黑体" w:hAnsi="黑体" w:eastAsia="黑体"/>
                <w:b/>
                <w:kern w:val="0"/>
                <w:szCs w:val="21"/>
              </w:rPr>
            </w:pPr>
            <w:r>
              <w:rPr>
                <w:rFonts w:hint="eastAsia" w:ascii="黑体" w:hAnsi="黑体" w:eastAsia="黑体"/>
                <w:b/>
                <w:kern w:val="0"/>
                <w:szCs w:val="21"/>
              </w:rPr>
              <w:t>（主办）</w:t>
            </w:r>
          </w:p>
        </w:tc>
        <w:tc>
          <w:tcPr>
            <w:tcW w:w="132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b/>
                <w:kern w:val="0"/>
                <w:szCs w:val="21"/>
              </w:rPr>
            </w:pPr>
            <w:r>
              <w:rPr>
                <w:rFonts w:hint="eastAsia" w:ascii="黑体" w:hAnsi="黑体" w:eastAsia="黑体"/>
                <w:b/>
                <w:kern w:val="0"/>
                <w:szCs w:val="21"/>
              </w:rPr>
              <w:t>分办</w:t>
            </w:r>
          </w:p>
          <w:p>
            <w:pPr>
              <w:jc w:val="center"/>
              <w:rPr>
                <w:rFonts w:ascii="黑体" w:hAnsi="黑体" w:eastAsia="黑体"/>
                <w:b/>
                <w:kern w:val="0"/>
                <w:szCs w:val="21"/>
              </w:rPr>
            </w:pPr>
            <w:r>
              <w:rPr>
                <w:rFonts w:hint="eastAsia" w:ascii="黑体" w:hAnsi="黑体" w:eastAsia="黑体"/>
                <w:b/>
                <w:kern w:val="0"/>
                <w:szCs w:val="21"/>
              </w:rPr>
              <w:t>（会办）</w:t>
            </w:r>
          </w:p>
        </w:tc>
        <w:tc>
          <w:tcPr>
            <w:tcW w:w="19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kern w:val="0"/>
                <w:szCs w:val="21"/>
              </w:rPr>
            </w:pPr>
          </w:p>
        </w:tc>
        <w:tc>
          <w:tcPr>
            <w:tcW w:w="198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kern w:val="0"/>
                <w:szCs w:val="21"/>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kern w:val="0"/>
                <w:szCs w:val="21"/>
              </w:rPr>
            </w:pPr>
          </w:p>
        </w:tc>
        <w:tc>
          <w:tcPr>
            <w:tcW w:w="184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kern w:val="0"/>
                <w:szCs w:val="21"/>
              </w:rPr>
            </w:pPr>
          </w:p>
        </w:tc>
        <w:tc>
          <w:tcPr>
            <w:tcW w:w="143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hAnsi="黑体" w:eastAsia="黑体"/>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p>
        </w:tc>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微软雅黑"/>
                <w:color w:val="000000"/>
                <w:szCs w:val="21"/>
                <w:shd w:val="clear" w:color="auto" w:fill="FFFFFF"/>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22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cs="宋体"/>
                <w:kern w:val="0"/>
                <w:sz w:val="20"/>
                <w:szCs w:val="20"/>
              </w:rPr>
            </w:pPr>
            <w:r>
              <w:rPr>
                <w:rFonts w:hint="eastAsia" w:ascii="华文仿宋" w:hAnsi="华文仿宋" w:eastAsia="华文仿宋" w:cs="华文仿宋"/>
                <w:b w:val="0"/>
                <w:bCs w:val="0"/>
                <w:i w:val="0"/>
                <w:iCs w:val="0"/>
                <w:caps w:val="0"/>
                <w:spacing w:val="0"/>
                <w:kern w:val="0"/>
                <w:sz w:val="21"/>
                <w:szCs w:val="21"/>
                <w:shd w:val="clear" w:color="auto" w:fill="FFFFFF"/>
                <w:lang w:eastAsia="zh-CN" w:bidi="ar"/>
              </w:rPr>
              <w:t>市统计局</w:t>
            </w:r>
          </w:p>
        </w:tc>
        <w:tc>
          <w:tcPr>
            <w:tcW w:w="132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华文仿宋" w:hAnsi="华文仿宋" w:eastAsia="华文仿宋" w:cs="华文仿宋"/>
                <w:b w:val="0"/>
                <w:bCs w:val="0"/>
                <w:i w:val="0"/>
                <w:iCs w:val="0"/>
                <w:caps w:val="0"/>
                <w:spacing w:val="0"/>
                <w:kern w:val="0"/>
                <w:sz w:val="21"/>
                <w:szCs w:val="21"/>
                <w:shd w:val="clear" w:color="auto" w:fill="FFFFFF"/>
                <w:lang w:eastAsia="zh-CN" w:bidi="ar"/>
              </w:rPr>
            </w:pPr>
            <w:r>
              <w:rPr>
                <w:rFonts w:hint="eastAsia" w:ascii="华文仿宋" w:hAnsi="华文仿宋" w:eastAsia="华文仿宋" w:cs="华文仿宋"/>
                <w:b w:val="0"/>
                <w:bCs w:val="0"/>
                <w:i w:val="0"/>
                <w:iCs w:val="0"/>
                <w:caps w:val="0"/>
                <w:spacing w:val="0"/>
                <w:kern w:val="0"/>
                <w:sz w:val="21"/>
                <w:szCs w:val="21"/>
                <w:shd w:val="clear" w:color="auto" w:fill="FFFFFF"/>
                <w:lang w:eastAsia="zh-CN" w:bidi="ar"/>
              </w:rPr>
              <w:t>市商务局</w:t>
            </w:r>
          </w:p>
        </w:tc>
        <w:tc>
          <w:tcPr>
            <w:tcW w:w="19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华文仿宋" w:hAnsi="华文仿宋" w:eastAsia="华文仿宋" w:cs="华文仿宋"/>
                <w:b w:val="0"/>
                <w:bCs w:val="0"/>
                <w:i w:val="0"/>
                <w:iCs w:val="0"/>
                <w:caps w:val="0"/>
                <w:spacing w:val="0"/>
                <w:kern w:val="0"/>
                <w:sz w:val="21"/>
                <w:szCs w:val="21"/>
                <w:shd w:val="clear" w:color="auto" w:fill="FFFFFF"/>
                <w:lang w:val="zh-CN" w:eastAsia="zh-CN" w:bidi="ar"/>
              </w:rPr>
            </w:pPr>
            <w:r>
              <w:rPr>
                <w:rFonts w:hint="eastAsia" w:ascii="华文仿宋" w:hAnsi="华文仿宋" w:eastAsia="华文仿宋" w:cs="华文仿宋"/>
                <w:b w:val="0"/>
                <w:bCs w:val="0"/>
                <w:i w:val="0"/>
                <w:iCs w:val="0"/>
                <w:caps w:val="0"/>
                <w:spacing w:val="0"/>
                <w:kern w:val="0"/>
                <w:sz w:val="21"/>
                <w:szCs w:val="21"/>
                <w:shd w:val="clear" w:color="auto" w:fill="FFFFFF"/>
                <w:lang w:val="en-US" w:eastAsia="zh-CN" w:bidi="ar"/>
              </w:rPr>
              <w:t>采用合理统计口径</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kern w:val="0"/>
                <w:szCs w:val="21"/>
              </w:rPr>
            </w:pPr>
            <w:r>
              <w:rPr>
                <w:rFonts w:hint="default" w:ascii="宋体" w:hAnsi="宋体"/>
                <w:kern w:val="0"/>
                <w:szCs w:val="21"/>
              </w:rPr>
              <w:t>——</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rPr>
            </w:pPr>
            <w:r>
              <w:rPr>
                <w:rFonts w:hint="default" w:ascii="宋体" w:hAnsi="宋体"/>
                <w:kern w:val="0"/>
                <w:szCs w:val="21"/>
              </w:rPr>
              <w:t>——</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0"/>
                <w:szCs w:val="21"/>
              </w:rPr>
            </w:pPr>
            <w:r>
              <w:rPr>
                <w:rFonts w:hint="default" w:ascii="宋体" w:hAnsi="宋体"/>
                <w:kern w:val="0"/>
                <w:szCs w:val="21"/>
              </w:rPr>
              <w:t>——</w:t>
            </w:r>
          </w:p>
        </w:tc>
        <w:tc>
          <w:tcPr>
            <w:tcW w:w="14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华文仿宋" w:hAnsi="华文仿宋" w:eastAsia="华文仿宋" w:cs="华文仿宋"/>
                <w:b w:val="0"/>
                <w:bCs w:val="0"/>
                <w:i w:val="0"/>
                <w:iCs w:val="0"/>
                <w:caps w:val="0"/>
                <w:spacing w:val="0"/>
                <w:kern w:val="0"/>
                <w:sz w:val="21"/>
                <w:szCs w:val="21"/>
                <w:shd w:val="clear" w:color="auto" w:fill="FFFFFF"/>
                <w:lang w:val="en-US" w:eastAsia="zh-CN" w:bidi="ar"/>
              </w:rPr>
            </w:pPr>
            <w:r>
              <w:rPr>
                <w:rFonts w:hint="eastAsia" w:ascii="华文仿宋" w:hAnsi="华文仿宋" w:eastAsia="华文仿宋" w:cs="华文仿宋"/>
                <w:b w:val="0"/>
                <w:bCs w:val="0"/>
                <w:i w:val="0"/>
                <w:iCs w:val="0"/>
                <w:caps w:val="0"/>
                <w:spacing w:val="0"/>
                <w:kern w:val="0"/>
                <w:sz w:val="21"/>
                <w:szCs w:val="21"/>
                <w:shd w:val="clear" w:color="auto" w:fill="FFFFFF"/>
                <w:lang w:eastAsia="zh-CN" w:bidi="ar"/>
              </w:rPr>
              <w:t>未采纳原因：</w:t>
            </w:r>
            <w:r>
              <w:rPr>
                <w:rFonts w:hint="eastAsia" w:ascii="华文仿宋" w:hAnsi="华文仿宋" w:eastAsia="华文仿宋" w:cs="华文仿宋"/>
                <w:b w:val="0"/>
                <w:bCs w:val="0"/>
                <w:i w:val="0"/>
                <w:iCs w:val="0"/>
                <w:caps w:val="0"/>
                <w:spacing w:val="0"/>
                <w:kern w:val="0"/>
                <w:sz w:val="21"/>
                <w:szCs w:val="21"/>
                <w:shd w:val="clear" w:color="auto" w:fill="FFFFFF"/>
                <w:lang w:val="en-US" w:eastAsia="zh-CN" w:bidi="ar"/>
              </w:rPr>
              <w:t>1.根据《深圳市鼓励总部企业高质量发展实施办法》（2021年7月1日实施，以下简称《办法》）第二条规定：本办法所称总部企业，是指在本市设立，具有独立法人资格（商业银行专营机构除外），对一定区域内的企业行使投资控股、运营决策、研究开发、集中销售、财务结算等管理服务职能的总机构。 根据《办法》第四条，市总部企业由市发改委认定。经市统计局与市发改委沟通，其回复称，根据《办法》第三十条：“本办法所称总部企业产值规模（营业收入）、形成的地方财力以申报企业独立法人（含分支机构）及其能够并入财务报表且实际控制的我市公司作为统计核算口径。”，购物中心营业收入的统计口径是其作为独立法人自身的全部营业收入。因租用购物中心铺位进行经营的商户不属于购物中心法人范围，所以租户的营业收入无法计入购物中心的营业收入。</w:t>
            </w:r>
          </w:p>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trPr>
        <w:tc>
          <w:tcPr>
            <w:tcW w:w="83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kern w:val="0"/>
                <w:szCs w:val="21"/>
              </w:rPr>
            </w:pPr>
          </w:p>
        </w:tc>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微软雅黑"/>
                <w:color w:val="000000"/>
                <w:szCs w:val="21"/>
                <w:shd w:val="clear" w:color="auto" w:fill="FFFFFF"/>
              </w:rPr>
            </w:pPr>
          </w:p>
        </w:tc>
        <w:tc>
          <w:tcPr>
            <w:tcW w:w="85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0"/>
                <w:szCs w:val="20"/>
              </w:rPr>
            </w:pPr>
          </w:p>
        </w:tc>
        <w:tc>
          <w:tcPr>
            <w:tcW w:w="122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kern w:val="0"/>
                <w:sz w:val="20"/>
                <w:szCs w:val="20"/>
              </w:rPr>
            </w:pPr>
          </w:p>
        </w:tc>
        <w:tc>
          <w:tcPr>
            <w:tcW w:w="132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kern w:val="0"/>
                <w:sz w:val="20"/>
                <w:szCs w:val="20"/>
              </w:rPr>
            </w:pPr>
          </w:p>
        </w:tc>
        <w:tc>
          <w:tcPr>
            <w:tcW w:w="19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华文仿宋" w:hAnsi="华文仿宋" w:eastAsia="华文仿宋" w:cs="华文仿宋"/>
                <w:b w:val="0"/>
                <w:bCs w:val="0"/>
                <w:i w:val="0"/>
                <w:iCs w:val="0"/>
                <w:caps w:val="0"/>
                <w:spacing w:val="0"/>
                <w:kern w:val="0"/>
                <w:sz w:val="21"/>
                <w:szCs w:val="21"/>
                <w:shd w:val="clear" w:color="auto" w:fill="FFFFFF"/>
                <w:lang w:eastAsia="zh-CN" w:bidi="ar"/>
              </w:rPr>
            </w:pPr>
            <w:r>
              <w:rPr>
                <w:rFonts w:hint="eastAsia" w:ascii="华文仿宋" w:hAnsi="华文仿宋" w:eastAsia="华文仿宋" w:cs="华文仿宋"/>
                <w:b w:val="0"/>
                <w:bCs w:val="0"/>
                <w:i w:val="0"/>
                <w:iCs w:val="0"/>
                <w:caps w:val="0"/>
                <w:spacing w:val="0"/>
                <w:kern w:val="0"/>
                <w:sz w:val="21"/>
                <w:szCs w:val="21"/>
                <w:shd w:val="clear" w:color="auto" w:fill="FFFFFF"/>
                <w:lang w:val="en-US" w:eastAsia="zh-CN" w:bidi="ar"/>
              </w:rPr>
              <w:t>扶持零售服务业持续健康发展</w:t>
            </w:r>
          </w:p>
          <w:p>
            <w:pPr>
              <w:jc w:val="center"/>
              <w:rPr>
                <w:lang w:val="zh-CN"/>
              </w:rPr>
            </w:pPr>
          </w:p>
        </w:tc>
        <w:tc>
          <w:tcPr>
            <w:tcW w:w="19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华文仿宋" w:hAnsi="华文仿宋" w:eastAsia="华文仿宋" w:cs="华文仿宋"/>
                <w:b w:val="0"/>
                <w:bCs w:val="0"/>
                <w:i w:val="0"/>
                <w:iCs w:val="0"/>
                <w:caps w:val="0"/>
                <w:spacing w:val="0"/>
                <w:kern w:val="0"/>
                <w:sz w:val="21"/>
                <w:szCs w:val="21"/>
                <w:shd w:val="clear" w:color="auto" w:fill="FFFFFF"/>
                <w:lang w:val="en-US" w:eastAsia="zh-CN" w:bidi="ar"/>
              </w:rPr>
            </w:pPr>
            <w:r>
              <w:rPr>
                <w:rFonts w:hint="eastAsia" w:ascii="华文仿宋" w:hAnsi="华文仿宋" w:eastAsia="华文仿宋" w:cs="华文仿宋"/>
                <w:b w:val="0"/>
                <w:bCs w:val="0"/>
                <w:i w:val="0"/>
                <w:iCs w:val="0"/>
                <w:caps w:val="0"/>
                <w:spacing w:val="0"/>
                <w:kern w:val="0"/>
                <w:sz w:val="21"/>
                <w:szCs w:val="21"/>
                <w:shd w:val="clear" w:color="auto" w:fill="FFFFFF"/>
                <w:lang w:val="en-US" w:eastAsia="zh-CN" w:bidi="ar"/>
              </w:rPr>
              <w:t>为支持购物中心业态的发展，市商务局已发布实施《深圳市关于加快建设国际消费中心城市的若干措施》，明确提出支持国内外知名品牌在深设立首店、旗舰店、新概念店，支持知名品牌在深设立独立法人，对引入国内外知名品牌的运营企业，每个品牌奖励20万元，单个企业每年奖励不超过500万元。对在深设立独立法人机构的知名品牌奖励50万元。同时对零售企业的零售额每增长1亿元奖励50万元，每家企业每年奖励上限1000万元。</w:t>
            </w:r>
          </w:p>
          <w:p>
            <w:pPr>
              <w:keepNext w:val="0"/>
              <w:keepLines w:val="0"/>
              <w:widowControl/>
              <w:suppressLineNumbers w:val="0"/>
              <w:jc w:val="left"/>
              <w:rPr>
                <w:rFonts w:hint="eastAsia" w:ascii="华文仿宋" w:hAnsi="华文仿宋" w:eastAsia="华文仿宋" w:cs="华文仿宋"/>
                <w:b w:val="0"/>
                <w:bCs w:val="0"/>
                <w:i w:val="0"/>
                <w:iCs w:val="0"/>
                <w:caps w:val="0"/>
                <w:spacing w:val="0"/>
                <w:kern w:val="0"/>
                <w:sz w:val="21"/>
                <w:szCs w:val="21"/>
                <w:shd w:val="clear" w:color="auto" w:fill="FFFFFF"/>
                <w:lang w:val="zh-CN" w:eastAsia="zh-CN" w:bidi="ar"/>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华文仿宋" w:hAnsi="华文仿宋" w:eastAsia="华文仿宋" w:cs="华文仿宋"/>
                <w:b w:val="0"/>
                <w:bCs w:val="0"/>
                <w:i w:val="0"/>
                <w:iCs w:val="0"/>
                <w:caps w:val="0"/>
                <w:spacing w:val="0"/>
                <w:kern w:val="0"/>
                <w:sz w:val="21"/>
                <w:szCs w:val="21"/>
                <w:shd w:val="clear" w:color="auto" w:fill="FFFFFF"/>
                <w:lang w:val="en-US" w:eastAsia="zh-CN" w:bidi="ar"/>
              </w:rPr>
            </w:pPr>
            <w:r>
              <w:rPr>
                <w:rFonts w:hint="eastAsia" w:ascii="华文仿宋" w:hAnsi="华文仿宋" w:eastAsia="华文仿宋" w:cs="华文仿宋"/>
                <w:b w:val="0"/>
                <w:bCs w:val="0"/>
                <w:i w:val="0"/>
                <w:iCs w:val="0"/>
                <w:caps w:val="0"/>
                <w:spacing w:val="0"/>
                <w:kern w:val="0"/>
                <w:sz w:val="21"/>
                <w:szCs w:val="21"/>
                <w:shd w:val="clear" w:color="auto" w:fill="FFFFFF"/>
                <w:lang w:val="en-US" w:eastAsia="zh-CN" w:bidi="ar"/>
              </w:rPr>
              <w:t>依据现有的销售端统计的制度，商户的销售收入数据将在法人所在地进行统计，导致很多在我市开设品牌门店但未设立法人的企业不能纳统，导致各地、各区对于引进和服务此类企业并不积极，不利于调动各地吸引品牌进驻的积极性。</w:t>
            </w:r>
          </w:p>
          <w:p>
            <w:pPr>
              <w:keepNext w:val="0"/>
              <w:keepLines w:val="0"/>
              <w:widowControl/>
              <w:suppressLineNumbers w:val="0"/>
              <w:jc w:val="left"/>
              <w:rPr>
                <w:rFonts w:hint="eastAsia" w:ascii="华文仿宋" w:hAnsi="华文仿宋" w:eastAsia="华文仿宋" w:cs="华文仿宋"/>
                <w:b w:val="0"/>
                <w:bCs w:val="0"/>
                <w:i w:val="0"/>
                <w:iCs w:val="0"/>
                <w:caps w:val="0"/>
                <w:spacing w:val="0"/>
                <w:kern w:val="0"/>
                <w:sz w:val="21"/>
                <w:szCs w:val="21"/>
                <w:shd w:val="clear" w:color="auto" w:fill="FFFFFF"/>
                <w:lang w:val="zh-CN" w:eastAsia="zh-CN" w:bidi="ar"/>
              </w:rPr>
            </w:pP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rPr>
                <w:rFonts w:hint="eastAsia" w:ascii="华文仿宋" w:hAnsi="华文仿宋" w:eastAsia="华文仿宋" w:cs="华文仿宋"/>
                <w:b w:val="0"/>
                <w:bCs w:val="0"/>
                <w:i w:val="0"/>
                <w:iCs w:val="0"/>
                <w:caps w:val="0"/>
                <w:spacing w:val="0"/>
                <w:kern w:val="0"/>
                <w:sz w:val="21"/>
                <w:szCs w:val="21"/>
                <w:shd w:val="clear" w:color="auto" w:fill="FFFFFF"/>
                <w:lang w:val="en-US" w:eastAsia="zh-CN" w:bidi="ar"/>
              </w:rPr>
            </w:pPr>
            <w:r>
              <w:rPr>
                <w:rFonts w:hint="eastAsia" w:ascii="华文仿宋" w:hAnsi="华文仿宋" w:eastAsia="华文仿宋" w:cs="华文仿宋"/>
                <w:b w:val="0"/>
                <w:bCs w:val="0"/>
                <w:i w:val="0"/>
                <w:iCs w:val="0"/>
                <w:caps w:val="0"/>
                <w:spacing w:val="0"/>
                <w:kern w:val="0"/>
                <w:sz w:val="21"/>
                <w:szCs w:val="21"/>
                <w:shd w:val="clear" w:color="auto" w:fill="FFFFFF"/>
                <w:lang w:val="en-US" w:eastAsia="zh-CN" w:bidi="ar"/>
              </w:rPr>
              <w:t>市商务局将继续贯彻落实《深圳市关于加快建设国际消费中心城市的若干措施》的相关政策措施。</w:t>
            </w:r>
          </w:p>
          <w:p>
            <w:pPr>
              <w:keepNext w:val="0"/>
              <w:keepLines w:val="0"/>
              <w:widowControl/>
              <w:suppressLineNumbers w:val="0"/>
              <w:jc w:val="left"/>
              <w:rPr>
                <w:rFonts w:hint="eastAsia" w:ascii="华文仿宋" w:hAnsi="华文仿宋" w:eastAsia="华文仿宋" w:cs="华文仿宋"/>
                <w:b w:val="0"/>
                <w:bCs w:val="0"/>
                <w:i w:val="0"/>
                <w:iCs w:val="0"/>
                <w:caps w:val="0"/>
                <w:spacing w:val="0"/>
                <w:kern w:val="0"/>
                <w:sz w:val="21"/>
                <w:szCs w:val="21"/>
                <w:shd w:val="clear" w:color="auto" w:fill="FFFFFF"/>
                <w:lang w:val="en-US" w:eastAsia="zh-CN" w:bidi="ar"/>
              </w:rPr>
            </w:pPr>
          </w:p>
        </w:tc>
        <w:tc>
          <w:tcPr>
            <w:tcW w:w="143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0"/>
                <w:szCs w:val="21"/>
              </w:rPr>
            </w:pPr>
          </w:p>
        </w:tc>
      </w:tr>
    </w:tbl>
    <w:p>
      <w:pPr>
        <w:widowControl/>
        <w:jc w:val="left"/>
        <w:rPr>
          <w:rFonts w:ascii="仿宋_GB2312" w:hAnsi="宋体" w:eastAsia="仿宋_GB2312"/>
          <w:sz w:val="32"/>
          <w:szCs w:val="32"/>
        </w:rPr>
        <w:sectPr>
          <w:pgSz w:w="16838" w:h="11906" w:orient="landscape"/>
          <w:pgMar w:top="1797" w:right="1440" w:bottom="1797" w:left="1440" w:header="851" w:footer="992" w:gutter="0"/>
          <w:cols w:space="720" w:num="1"/>
          <w:docGrid w:type="linesAndChars" w:linePitch="312" w:charSpace="0"/>
        </w:sectPr>
      </w:pPr>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黑体">
    <w:altName w:val="方正黑体_GBK"/>
    <w:panose1 w:val="02010609060101010101"/>
    <w:charset w:val="00"/>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w:altName w:val="方正黑体_GBK"/>
    <w:panose1 w:val="020B0503020204020204"/>
    <w:charset w:val="00"/>
    <w:family w:val="swiss"/>
    <w:pitch w:val="default"/>
    <w:sig w:usb0="00000000" w:usb1="00000000" w:usb2="00000016" w:usb3="00000000" w:csb0="0004001F" w:csb1="00000000"/>
  </w:font>
  <w:font w:name="仿宋_GB2312">
    <w:altName w:val="方正仿宋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AFF929"/>
    <w:rsid w:val="2E70736D"/>
    <w:rsid w:val="2EFD8783"/>
    <w:rsid w:val="7FAFF929"/>
    <w:rsid w:val="FDF5412C"/>
    <w:rsid w:val="FFFAD4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135.333333333333</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2022-08-23T19:48:00Z</dcterms:created>
  <dc:creator>liqifang</dc:creator>
  <cp:lastModifiedBy>liqifang</cp:lastModifiedBy>
  <dcterms:modified xsi:type="dcterms:W3CDTF">2022-11-17T17:21:57Z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