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jc w:val="center"/>
        <w:rPr>
          <w:rFonts w:ascii="宋体" w:hAnsi="宋体" w:cs="宋体"/>
          <w:kern w:val="0"/>
          <w:sz w:val="44"/>
          <w:szCs w:val="44"/>
        </w:rPr>
      </w:pPr>
      <w:r>
        <w:rPr>
          <w:rFonts w:hint="eastAsia" w:ascii="宋体" w:hAnsi="宋体"/>
          <w:color w:val="000000"/>
          <w:sz w:val="44"/>
          <w:szCs w:val="44"/>
        </w:rPr>
        <w:t>深圳市统计局</w:t>
      </w:r>
      <w:r>
        <w:rPr>
          <w:rFonts w:hint="eastAsia" w:ascii="宋体" w:hAnsi="宋体"/>
          <w:sz w:val="44"/>
          <w:szCs w:val="44"/>
        </w:rPr>
        <w:t>行政执法岗位责任制度</w:t>
      </w:r>
    </w:p>
    <w:p>
      <w:pPr>
        <w:snapToGrid w:val="0"/>
        <w:spacing w:line="520" w:lineRule="exact"/>
        <w:ind w:firstLine="627" w:firstLineChars="196"/>
        <w:rPr>
          <w:rFonts w:ascii="仿宋_GB2312" w:hAnsi="宋体" w:eastAsia="仿宋_GB2312" w:cs="宋体"/>
          <w:bCs/>
          <w:kern w:val="0"/>
          <w:sz w:val="32"/>
          <w:szCs w:val="32"/>
        </w:rPr>
      </w:pPr>
    </w:p>
    <w:p>
      <w:pPr>
        <w:snapToGrid w:val="0"/>
        <w:spacing w:line="480" w:lineRule="exact"/>
        <w:ind w:firstLine="627" w:firstLineChars="196"/>
        <w:jc w:val="left"/>
        <w:rPr>
          <w:rFonts w:ascii="仿宋_GB2312" w:hAnsi="宋体" w:eastAsia="仿宋_GB2312" w:cs="宋体"/>
          <w:bCs/>
          <w:kern w:val="0"/>
          <w:sz w:val="32"/>
          <w:szCs w:val="32"/>
        </w:rPr>
      </w:pPr>
      <w:r>
        <w:rPr>
          <w:rFonts w:ascii="仿宋_GB2312" w:hAnsi="宋体" w:eastAsia="仿宋_GB2312" w:cs="宋体"/>
          <w:bCs/>
          <w:kern w:val="0"/>
          <w:sz w:val="32"/>
          <w:szCs w:val="32"/>
        </w:rPr>
        <w:t>为贯彻落实</w:t>
      </w:r>
      <w:r>
        <w:rPr>
          <w:rFonts w:hint="eastAsia" w:ascii="仿宋_GB2312" w:hAnsi="宋体" w:eastAsia="仿宋_GB2312" w:cs="宋体"/>
          <w:bCs/>
          <w:kern w:val="0"/>
          <w:sz w:val="32"/>
          <w:szCs w:val="32"/>
        </w:rPr>
        <w:t>中共中央国务院《法治政府建设实施纲要（2015-2020年）》“严格确定不同部门及机构、岗位执法人员的执法责任”的决策部署，保证统计法律、法规、规章的有效实施，提高行政执法效能，明确执法人员的岗位责任，制定本制度。</w:t>
      </w:r>
    </w:p>
    <w:p>
      <w:pPr>
        <w:snapToGrid w:val="0"/>
        <w:spacing w:line="480" w:lineRule="exact"/>
        <w:rPr>
          <w:rFonts w:ascii="黑体" w:hAnsi="黑体" w:eastAsia="黑体" w:cs="黑体"/>
          <w:bCs/>
          <w:kern w:val="0"/>
          <w:sz w:val="32"/>
          <w:szCs w:val="32"/>
        </w:rPr>
      </w:pPr>
      <w:r>
        <w:rPr>
          <w:rFonts w:hint="eastAsia" w:ascii="黑体" w:hAnsi="黑体" w:eastAsia="黑体" w:cs="黑体"/>
          <w:bCs/>
          <w:kern w:val="0"/>
          <w:sz w:val="32"/>
          <w:szCs w:val="32"/>
        </w:rPr>
        <w:t xml:space="preserve">    一、实施目标</w:t>
      </w:r>
    </w:p>
    <w:p>
      <w:pPr>
        <w:snapToGrid w:val="0"/>
        <w:spacing w:line="48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（一）保证法律、法规和规章在本部门、各工作岗位正确有效实施；</w:t>
      </w:r>
    </w:p>
    <w:p>
      <w:pPr>
        <w:snapToGrid w:val="0"/>
        <w:spacing w:line="48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（二）依法行政、照章办事，行政执法行为合法、公正、廉洁、高效；</w:t>
      </w:r>
    </w:p>
    <w:p>
      <w:pPr>
        <w:snapToGrid w:val="0"/>
        <w:spacing w:line="48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（三）各种违法案件及时得到查处，各种违法行为及时得到纠正，公民、法人和其他组织的合法权益得到保护；</w:t>
      </w:r>
    </w:p>
    <w:p>
      <w:pPr>
        <w:snapToGrid w:val="0"/>
        <w:spacing w:line="48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（四）依法接受上级主管部门和公民、法人及其他组织对本部门行政执法的监督。</w:t>
      </w:r>
    </w:p>
    <w:p>
      <w:pPr>
        <w:snapToGrid w:val="0"/>
        <w:spacing w:line="480" w:lineRule="exact"/>
        <w:ind w:firstLine="627" w:firstLineChars="196"/>
        <w:rPr>
          <w:rFonts w:ascii="仿宋_GB2312" w:hAnsi="宋体" w:eastAsia="仿宋_GB2312" w:cs="宋体"/>
          <w:bCs/>
          <w:kern w:val="0"/>
          <w:sz w:val="32"/>
          <w:szCs w:val="32"/>
        </w:rPr>
      </w:pPr>
      <w:r>
        <w:rPr>
          <w:rFonts w:hint="eastAsia" w:ascii="黑体" w:hAnsi="黑体" w:eastAsia="黑体" w:cs="黑体"/>
          <w:bCs/>
          <w:kern w:val="0"/>
          <w:sz w:val="32"/>
          <w:szCs w:val="32"/>
        </w:rPr>
        <w:t>二、执法职责和责任单位</w:t>
      </w:r>
    </w:p>
    <w:p>
      <w:pPr>
        <w:snapToGrid w:val="0"/>
        <w:spacing w:line="480" w:lineRule="exact"/>
        <w:ind w:firstLine="642" w:firstLineChars="200"/>
        <w:rPr>
          <w:rFonts w:ascii="仿宋_GB2312" w:hAnsi="宋体" w:eastAsia="仿宋_GB2312" w:cs="宋体"/>
          <w:bCs/>
          <w:kern w:val="0"/>
          <w:sz w:val="32"/>
          <w:szCs w:val="32"/>
        </w:rPr>
      </w:pPr>
      <w:r>
        <w:rPr>
          <w:rFonts w:hint="eastAsia" w:ascii="仿宋_GB2312" w:hAnsi="宋体" w:eastAsia="仿宋_GB2312" w:cs="宋体"/>
          <w:b/>
          <w:bCs/>
          <w:kern w:val="0"/>
          <w:sz w:val="32"/>
          <w:szCs w:val="32"/>
        </w:rPr>
        <w:t>执法主体：</w:t>
      </w:r>
      <w:r>
        <w:rPr>
          <w:rFonts w:hint="eastAsia" w:ascii="仿宋_GB2312" w:hAnsi="宋体" w:eastAsia="仿宋_GB2312" w:cs="宋体"/>
          <w:bCs/>
          <w:kern w:val="0"/>
          <w:sz w:val="32"/>
          <w:szCs w:val="32"/>
        </w:rPr>
        <w:t>深圳市统计局</w:t>
      </w:r>
    </w:p>
    <w:p>
      <w:pPr>
        <w:snapToGrid w:val="0"/>
        <w:spacing w:line="480" w:lineRule="exact"/>
        <w:ind w:firstLine="642" w:firstLineChars="200"/>
        <w:rPr>
          <w:rFonts w:ascii="仿宋_GB2312" w:hAnsi="宋体" w:eastAsia="仿宋_GB2312" w:cs="宋体"/>
          <w:bCs/>
          <w:kern w:val="0"/>
          <w:sz w:val="32"/>
          <w:szCs w:val="32"/>
        </w:rPr>
      </w:pPr>
      <w:r>
        <w:rPr>
          <w:rFonts w:hint="eastAsia" w:ascii="仿宋_GB2312" w:hAnsi="宋体" w:eastAsia="仿宋_GB2312" w:cs="宋体"/>
          <w:b/>
          <w:bCs/>
          <w:kern w:val="0"/>
          <w:sz w:val="32"/>
          <w:szCs w:val="32"/>
        </w:rPr>
        <w:t>执法职责：</w:t>
      </w:r>
      <w:r>
        <w:rPr>
          <w:rFonts w:ascii="仿宋_GB2312" w:hAnsi="宋体" w:eastAsia="仿宋_GB2312" w:cs="宋体"/>
          <w:bCs/>
          <w:kern w:val="0"/>
          <w:sz w:val="32"/>
          <w:szCs w:val="32"/>
        </w:rPr>
        <w:t>依法对全市国民经济和社会发展情况进行统计调查、统计分析，提供统计资料和统计咨询意见，实行统计监督；对全市统计对象执行统计法律、法规、规章的情况进行检查</w:t>
      </w:r>
      <w:r>
        <w:rPr>
          <w:rFonts w:hint="eastAsia" w:ascii="仿宋_GB2312" w:hAnsi="宋体" w:eastAsia="仿宋_GB2312" w:cs="宋体"/>
          <w:bCs/>
          <w:kern w:val="0"/>
          <w:sz w:val="32"/>
          <w:szCs w:val="32"/>
        </w:rPr>
        <w:t>；</w:t>
      </w:r>
      <w:r>
        <w:rPr>
          <w:rFonts w:ascii="仿宋_GB2312" w:hAnsi="宋体" w:eastAsia="仿宋_GB2312" w:cs="宋体"/>
          <w:bCs/>
          <w:kern w:val="0"/>
          <w:sz w:val="32"/>
          <w:szCs w:val="32"/>
        </w:rPr>
        <w:t>依法对国家机关、社会团体、企业事业组织和个体工商户等统计调查对象虚报或瞒报统计资料、伪造、篡改统计资料、拒报或者屡次迟报统计资料的行为进行查处；对利用统计调查损害社会公共利益或进行欺诈活动的行为进行查处；依法对抗拒、阻碍依法进行的统计调查和统计执法监督检查或者包庇、袒护统计违法行为的直接责任人和单位责任人进行查处。</w:t>
      </w:r>
    </w:p>
    <w:p>
      <w:pPr>
        <w:snapToGrid w:val="0"/>
        <w:spacing w:line="480" w:lineRule="exact"/>
        <w:ind w:firstLine="629" w:firstLineChars="196"/>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执法依据：</w:t>
      </w:r>
    </w:p>
    <w:p>
      <w:pPr>
        <w:numPr>
          <w:ilvl w:val="0"/>
          <w:numId w:val="1"/>
        </w:numPr>
        <w:snapToGrid w:val="0"/>
        <w:spacing w:line="480" w:lineRule="exact"/>
        <w:ind w:firstLine="627" w:firstLineChars="196"/>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中华人民共和国统计法</w:t>
      </w:r>
    </w:p>
    <w:p>
      <w:pPr>
        <w:snapToGrid w:val="0"/>
        <w:spacing w:line="480" w:lineRule="exact"/>
        <w:ind w:firstLine="627" w:firstLineChars="196"/>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2.全国经济普查条例</w:t>
      </w:r>
    </w:p>
    <w:p>
      <w:pPr>
        <w:snapToGrid w:val="0"/>
        <w:spacing w:line="480" w:lineRule="exact"/>
        <w:ind w:firstLine="627" w:firstLineChars="196"/>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3.全国人口普查条例</w:t>
      </w:r>
      <w:r>
        <w:rPr>
          <w:rFonts w:hint="eastAsia" w:ascii="仿宋" w:hAnsi="仿宋" w:eastAsia="仿宋" w:cs="宋体"/>
          <w:color w:val="040404"/>
          <w:kern w:val="0"/>
          <w:sz w:val="32"/>
          <w:szCs w:val="32"/>
        </w:rPr>
        <w:t>统计</w:t>
      </w:r>
    </w:p>
    <w:p>
      <w:pPr>
        <w:snapToGrid w:val="0"/>
        <w:spacing w:line="480" w:lineRule="exact"/>
        <w:ind w:firstLine="627" w:firstLineChars="196"/>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4.全国农业普查条例</w:t>
      </w:r>
    </w:p>
    <w:p>
      <w:pPr>
        <w:snapToGrid w:val="0"/>
        <w:spacing w:line="480" w:lineRule="exact"/>
        <w:ind w:firstLine="627" w:firstLineChars="196"/>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5.</w:t>
      </w:r>
      <w:r>
        <w:rPr>
          <w:rFonts w:ascii="仿宋_GB2312" w:hAnsi="仿宋_GB2312" w:eastAsia="仿宋_GB2312" w:cs="仿宋_GB2312"/>
          <w:bCs/>
          <w:kern w:val="0"/>
          <w:sz w:val="32"/>
          <w:szCs w:val="32"/>
        </w:rPr>
        <w:t>中华人民共和国统计法实施</w:t>
      </w:r>
      <w:r>
        <w:rPr>
          <w:rFonts w:hint="eastAsia" w:ascii="仿宋_GB2312" w:hAnsi="仿宋_GB2312" w:eastAsia="仿宋_GB2312" w:cs="仿宋_GB2312"/>
          <w:bCs/>
          <w:kern w:val="0"/>
          <w:sz w:val="32"/>
          <w:szCs w:val="32"/>
        </w:rPr>
        <w:t>条例</w:t>
      </w:r>
    </w:p>
    <w:p>
      <w:pPr>
        <w:snapToGrid w:val="0"/>
        <w:spacing w:line="480" w:lineRule="exact"/>
        <w:ind w:firstLine="627" w:firstLineChars="196"/>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6.</w:t>
      </w:r>
      <w:r>
        <w:rPr>
          <w:rFonts w:hint="eastAsia" w:ascii="仿宋_GB2312" w:hAnsi="仿宋_GB2312" w:eastAsia="仿宋_GB2312" w:cs="仿宋_GB2312"/>
          <w:bCs/>
          <w:kern w:val="0"/>
          <w:sz w:val="32"/>
          <w:szCs w:val="32"/>
          <w:lang w:val="en-US" w:eastAsia="zh-CN"/>
        </w:rPr>
        <w:t>统计执法监督检查办法</w:t>
      </w:r>
      <w:bookmarkStart w:id="0" w:name="_GoBack"/>
      <w:bookmarkEnd w:id="0"/>
      <w:r>
        <w:rPr>
          <w:rFonts w:ascii="仿宋_GB2312" w:hAnsi="仿宋_GB2312" w:eastAsia="仿宋_GB2312" w:cs="仿宋_GB2312"/>
          <w:bCs/>
          <w:kern w:val="0"/>
          <w:sz w:val="32"/>
          <w:szCs w:val="32"/>
        </w:rPr>
        <w:t xml:space="preserve"> </w:t>
      </w:r>
      <w:r>
        <w:rPr>
          <w:rFonts w:hint="eastAsia" w:ascii="仿宋_GB2312" w:hAnsi="仿宋_GB2312" w:eastAsia="仿宋_GB2312" w:cs="仿宋_GB2312"/>
          <w:bCs/>
          <w:kern w:val="0"/>
          <w:sz w:val="32"/>
          <w:szCs w:val="32"/>
        </w:rPr>
        <w:t xml:space="preserve"> </w:t>
      </w:r>
    </w:p>
    <w:p>
      <w:pPr>
        <w:snapToGrid w:val="0"/>
        <w:spacing w:line="480" w:lineRule="exact"/>
        <w:ind w:firstLine="627" w:firstLineChars="196"/>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7.广东省统计条例</w:t>
      </w:r>
    </w:p>
    <w:p>
      <w:pPr>
        <w:snapToGrid w:val="0"/>
        <w:spacing w:line="480" w:lineRule="exact"/>
        <w:ind w:firstLine="627" w:firstLineChars="196"/>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8.深圳经济特区统计条例</w:t>
      </w:r>
    </w:p>
    <w:p>
      <w:pPr>
        <w:snapToGrid w:val="0"/>
        <w:spacing w:line="480" w:lineRule="exact"/>
        <w:ind w:firstLine="629" w:firstLineChars="196"/>
        <w:rPr>
          <w:rFonts w:ascii="仿宋_GB2312" w:hAnsi="仿宋_GB2312" w:eastAsia="仿宋_GB2312" w:cs="仿宋_GB2312"/>
          <w:bCs/>
          <w:kern w:val="0"/>
          <w:sz w:val="32"/>
          <w:szCs w:val="32"/>
        </w:rPr>
      </w:pPr>
      <w:r>
        <w:rPr>
          <w:rFonts w:hint="eastAsia" w:ascii="仿宋_GB2312" w:hAnsi="仿宋_GB2312" w:eastAsia="仿宋_GB2312" w:cs="仿宋_GB2312"/>
          <w:b/>
          <w:bCs/>
          <w:kern w:val="0"/>
          <w:sz w:val="32"/>
          <w:szCs w:val="32"/>
        </w:rPr>
        <w:t>责任单位：</w:t>
      </w:r>
      <w:r>
        <w:rPr>
          <w:rFonts w:hint="eastAsia" w:ascii="仿宋_GB2312" w:hAnsi="仿宋_GB2312" w:eastAsia="仿宋_GB2312" w:cs="仿宋_GB2312"/>
          <w:bCs/>
          <w:kern w:val="0"/>
          <w:sz w:val="32"/>
          <w:szCs w:val="32"/>
        </w:rPr>
        <w:t>执法稽查办</w:t>
      </w:r>
    </w:p>
    <w:p>
      <w:pPr>
        <w:snapToGrid w:val="0"/>
        <w:spacing w:line="480" w:lineRule="exact"/>
        <w:ind w:firstLine="627" w:firstLineChars="196"/>
        <w:rPr>
          <w:rFonts w:ascii="仿宋_GB2312" w:hAnsi="宋体" w:eastAsia="仿宋_GB2312" w:cs="宋体"/>
          <w:bCs/>
          <w:kern w:val="0"/>
          <w:sz w:val="32"/>
          <w:szCs w:val="32"/>
        </w:rPr>
      </w:pPr>
      <w:r>
        <w:rPr>
          <w:rFonts w:hint="eastAsia" w:ascii="黑体" w:hAnsi="黑体" w:eastAsia="黑体" w:cs="黑体"/>
          <w:bCs/>
          <w:kern w:val="0"/>
          <w:sz w:val="32"/>
          <w:szCs w:val="32"/>
        </w:rPr>
        <w:t>三、各级主体责任</w:t>
      </w:r>
    </w:p>
    <w:p>
      <w:pPr>
        <w:snapToGrid w:val="0"/>
        <w:spacing w:line="480" w:lineRule="exact"/>
        <w:ind w:firstLine="627" w:firstLineChars="196"/>
        <w:rPr>
          <w:rFonts w:ascii="楷体_GB2312" w:hAnsi="宋体" w:eastAsia="楷体_GB2312" w:cs="宋体"/>
          <w:bCs/>
          <w:kern w:val="0"/>
          <w:sz w:val="32"/>
          <w:szCs w:val="32"/>
        </w:rPr>
      </w:pPr>
      <w:r>
        <w:rPr>
          <w:rFonts w:hint="eastAsia" w:ascii="楷体_GB2312" w:hAnsi="楷体" w:eastAsia="楷体_GB2312" w:cs="楷体"/>
          <w:bCs/>
          <w:kern w:val="0"/>
          <w:sz w:val="32"/>
          <w:szCs w:val="32"/>
        </w:rPr>
        <w:t>（一）局长</w:t>
      </w:r>
    </w:p>
    <w:p>
      <w:pPr>
        <w:snapToGrid w:val="0"/>
        <w:spacing w:line="480" w:lineRule="exact"/>
        <w:ind w:firstLine="627" w:firstLineChars="196"/>
        <w:rPr>
          <w:rFonts w:ascii="仿宋_GB2312" w:hAnsi="宋体" w:eastAsia="仿宋_GB2312" w:cs="宋体"/>
          <w:bCs/>
          <w:kern w:val="0"/>
          <w:sz w:val="32"/>
          <w:szCs w:val="32"/>
        </w:rPr>
      </w:pPr>
      <w:r>
        <w:rPr>
          <w:rFonts w:hint="eastAsia" w:ascii="仿宋_GB2312" w:hAnsi="宋体" w:eastAsia="仿宋_GB2312" w:cs="宋体"/>
          <w:bCs/>
          <w:kern w:val="0"/>
          <w:sz w:val="32"/>
          <w:szCs w:val="32"/>
        </w:rPr>
        <w:t>为本单位依法行政的第一责任人，主持本单位的全面工作，就行政执法主要工作有：</w:t>
      </w:r>
    </w:p>
    <w:p>
      <w:pPr>
        <w:snapToGrid w:val="0"/>
        <w:spacing w:line="480" w:lineRule="exact"/>
        <w:rPr>
          <w:rFonts w:ascii="仿宋_GB2312" w:hAnsi="宋体" w:eastAsia="仿宋_GB2312" w:cs="宋体"/>
          <w:bCs/>
          <w:kern w:val="0"/>
          <w:sz w:val="32"/>
          <w:szCs w:val="32"/>
        </w:rPr>
      </w:pPr>
      <w:r>
        <w:rPr>
          <w:rFonts w:hint="eastAsia" w:ascii="仿宋_GB2312" w:hAnsi="宋体" w:eastAsia="仿宋_GB2312" w:cs="宋体"/>
          <w:bCs/>
          <w:kern w:val="0"/>
          <w:sz w:val="32"/>
          <w:szCs w:val="32"/>
        </w:rPr>
        <w:t xml:space="preserve">    1.贯彻落实国家、省市有关法律、法规、规章和政策规定；</w:t>
      </w:r>
    </w:p>
    <w:p>
      <w:pPr>
        <w:snapToGrid w:val="0"/>
        <w:spacing w:line="480" w:lineRule="exact"/>
        <w:ind w:firstLine="627" w:firstLineChars="196"/>
        <w:rPr>
          <w:rFonts w:ascii="仿宋_GB2312" w:hAnsi="宋体" w:eastAsia="仿宋_GB2312" w:cs="宋体"/>
          <w:kern w:val="0"/>
          <w:sz w:val="32"/>
          <w:szCs w:val="32"/>
        </w:rPr>
      </w:pPr>
      <w:r>
        <w:rPr>
          <w:rFonts w:hint="eastAsia" w:ascii="仿宋_GB2312" w:hAnsi="宋体" w:eastAsia="仿宋_GB2312" w:cs="宋体"/>
          <w:bCs/>
          <w:kern w:val="0"/>
          <w:sz w:val="32"/>
          <w:szCs w:val="32"/>
        </w:rPr>
        <w:t>2.</w:t>
      </w:r>
      <w:r>
        <w:rPr>
          <w:rFonts w:hint="eastAsia" w:ascii="仿宋_GB2312" w:hAnsi="宋体" w:eastAsia="仿宋_GB2312" w:cs="宋体"/>
          <w:kern w:val="0"/>
          <w:sz w:val="32"/>
          <w:szCs w:val="32"/>
        </w:rPr>
        <w:t>对重大统计行政执法事项的讨论、审定、决策，协调、研究解决统计行政执法中遇到的重大问题；</w:t>
      </w:r>
    </w:p>
    <w:p>
      <w:pPr>
        <w:snapToGrid w:val="0"/>
        <w:spacing w:line="48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3.对统计执法活动进行指导，及时听取查处重大案件及执法过程中的重大问题的汇报。</w:t>
      </w:r>
    </w:p>
    <w:p>
      <w:pPr>
        <w:snapToGrid w:val="0"/>
        <w:spacing w:line="480" w:lineRule="exact"/>
        <w:ind w:firstLine="627" w:firstLineChars="196"/>
        <w:rPr>
          <w:rFonts w:ascii="楷体_GB2312" w:hAnsi="楷体" w:eastAsia="楷体_GB2312" w:cs="楷体"/>
          <w:bCs/>
          <w:kern w:val="0"/>
          <w:sz w:val="32"/>
          <w:szCs w:val="32"/>
        </w:rPr>
      </w:pPr>
      <w:r>
        <w:rPr>
          <w:rFonts w:hint="eastAsia" w:ascii="楷体_GB2312" w:hAnsi="楷体" w:eastAsia="楷体_GB2312" w:cs="楷体"/>
          <w:bCs/>
          <w:kern w:val="0"/>
          <w:sz w:val="32"/>
          <w:szCs w:val="32"/>
        </w:rPr>
        <w:t>（二）分管领导</w:t>
      </w:r>
    </w:p>
    <w:p>
      <w:pPr>
        <w:snapToGrid w:val="0"/>
        <w:spacing w:line="480" w:lineRule="exact"/>
        <w:ind w:firstLine="627" w:firstLineChars="196"/>
        <w:rPr>
          <w:rFonts w:ascii="仿宋_GB2312" w:hAnsi="宋体" w:eastAsia="仿宋_GB2312" w:cs="宋体"/>
          <w:bCs/>
          <w:kern w:val="0"/>
          <w:sz w:val="32"/>
          <w:szCs w:val="32"/>
        </w:rPr>
      </w:pPr>
      <w:r>
        <w:rPr>
          <w:rFonts w:hint="eastAsia" w:ascii="仿宋_GB2312" w:hAnsi="宋体" w:eastAsia="仿宋_GB2312" w:cs="宋体"/>
          <w:bCs/>
          <w:kern w:val="0"/>
          <w:sz w:val="32"/>
          <w:szCs w:val="32"/>
        </w:rPr>
        <w:t>1.</w:t>
      </w:r>
      <w:r>
        <w:rPr>
          <w:rFonts w:hint="eastAsia" w:ascii="仿宋_GB2312" w:eastAsia="仿宋_GB2312"/>
          <w:sz w:val="32"/>
          <w:szCs w:val="32"/>
        </w:rPr>
        <w:t xml:space="preserve"> 负责分管本局行政执法工作</w:t>
      </w:r>
      <w:r>
        <w:rPr>
          <w:rFonts w:hint="eastAsia" w:ascii="仿宋_GB2312" w:hAnsi="宋体" w:eastAsia="仿宋_GB2312" w:cs="宋体"/>
          <w:bCs/>
          <w:kern w:val="0"/>
          <w:sz w:val="32"/>
          <w:szCs w:val="32"/>
        </w:rPr>
        <w:t>；</w:t>
      </w:r>
    </w:p>
    <w:p>
      <w:pPr>
        <w:snapToGrid w:val="0"/>
        <w:spacing w:line="480" w:lineRule="exact"/>
        <w:ind w:firstLine="627" w:firstLineChars="196"/>
        <w:rPr>
          <w:rFonts w:ascii="仿宋_GB2312" w:eastAsia="仿宋_GB2312"/>
          <w:sz w:val="32"/>
          <w:szCs w:val="32"/>
        </w:rPr>
      </w:pPr>
      <w:r>
        <w:rPr>
          <w:rFonts w:hint="eastAsia" w:ascii="仿宋_GB2312" w:hAnsi="宋体" w:eastAsia="仿宋_GB2312" w:cs="宋体"/>
          <w:bCs/>
          <w:kern w:val="0"/>
          <w:sz w:val="32"/>
          <w:szCs w:val="32"/>
        </w:rPr>
        <w:t>2.</w:t>
      </w:r>
      <w:r>
        <w:rPr>
          <w:rFonts w:hint="eastAsia" w:ascii="仿宋_GB2312" w:eastAsia="仿宋_GB2312"/>
          <w:sz w:val="32"/>
          <w:szCs w:val="32"/>
        </w:rPr>
        <w:t xml:space="preserve"> 负责组织统计</w:t>
      </w:r>
      <w:r>
        <w:rPr>
          <w:rFonts w:hint="eastAsia" w:ascii="仿宋_GB2312" w:hAnsi="宋体" w:eastAsia="仿宋_GB2312" w:cs="宋体"/>
          <w:kern w:val="0"/>
          <w:sz w:val="32"/>
          <w:szCs w:val="32"/>
        </w:rPr>
        <w:t>执法检查和专项整治行动，对市统计局查处的统计违法案件的立案、结案的审查和批准，主持统计违法大案要案、统计行政复议案件的审理和复议会议</w:t>
      </w:r>
      <w:r>
        <w:rPr>
          <w:rFonts w:hint="eastAsia" w:ascii="仿宋_GB2312" w:eastAsia="仿宋_GB2312"/>
          <w:sz w:val="32"/>
          <w:szCs w:val="32"/>
        </w:rPr>
        <w:t>；</w:t>
      </w:r>
    </w:p>
    <w:p>
      <w:pPr>
        <w:snapToGrid w:val="0"/>
        <w:spacing w:line="480" w:lineRule="exact"/>
        <w:ind w:firstLine="627" w:firstLineChars="196"/>
        <w:rPr>
          <w:rFonts w:ascii="仿宋_GB2312" w:hAnsi="宋体" w:eastAsia="仿宋_GB2312" w:cs="宋体"/>
          <w:kern w:val="0"/>
          <w:sz w:val="32"/>
          <w:szCs w:val="32"/>
        </w:rPr>
      </w:pPr>
      <w:r>
        <w:rPr>
          <w:rFonts w:hint="eastAsia" w:ascii="仿宋_GB2312" w:eastAsia="仿宋_GB2312"/>
          <w:sz w:val="32"/>
          <w:szCs w:val="32"/>
        </w:rPr>
        <w:t>3.</w:t>
      </w:r>
      <w:r>
        <w:rPr>
          <w:rFonts w:hint="eastAsia" w:ascii="仿宋_GB2312" w:hAnsi="宋体" w:eastAsia="仿宋_GB2312" w:cs="宋体"/>
          <w:kern w:val="0"/>
          <w:sz w:val="32"/>
          <w:szCs w:val="32"/>
        </w:rPr>
        <w:t>负责督促、检查统计行政执法工作，对于需要有关部门联合处理的重大统计违法案件，负责进行协调工作。</w:t>
      </w:r>
    </w:p>
    <w:p>
      <w:pPr>
        <w:snapToGrid w:val="0"/>
        <w:spacing w:line="480" w:lineRule="exact"/>
        <w:ind w:firstLine="627" w:firstLineChars="196"/>
        <w:rPr>
          <w:rFonts w:ascii="楷体_GB2312" w:hAnsi="楷体" w:eastAsia="楷体_GB2312" w:cs="楷体"/>
          <w:bCs/>
          <w:kern w:val="0"/>
          <w:sz w:val="32"/>
          <w:szCs w:val="32"/>
        </w:rPr>
      </w:pPr>
      <w:r>
        <w:rPr>
          <w:rFonts w:hint="eastAsia" w:ascii="楷体_GB2312" w:hAnsi="楷体" w:eastAsia="楷体_GB2312" w:cs="楷体"/>
          <w:bCs/>
          <w:kern w:val="0"/>
          <w:sz w:val="32"/>
          <w:szCs w:val="32"/>
        </w:rPr>
        <w:t>（三）</w:t>
      </w:r>
      <w:r>
        <w:rPr>
          <w:rFonts w:hint="default" w:ascii="楷体_GB2312" w:hAnsi="楷体" w:eastAsia="楷体_GB2312" w:cs="楷体"/>
          <w:bCs/>
          <w:kern w:val="0"/>
          <w:sz w:val="32"/>
          <w:szCs w:val="32"/>
        </w:rPr>
        <w:t>政策法规处（</w:t>
      </w:r>
      <w:r>
        <w:rPr>
          <w:rFonts w:hint="eastAsia" w:ascii="楷体_GB2312" w:hAnsi="楷体" w:eastAsia="楷体_GB2312" w:cs="楷体"/>
          <w:bCs/>
          <w:kern w:val="0"/>
          <w:sz w:val="32"/>
          <w:szCs w:val="32"/>
        </w:rPr>
        <w:t>执法稽查</w:t>
      </w:r>
      <w:r>
        <w:rPr>
          <w:rFonts w:hint="default" w:ascii="楷体_GB2312" w:hAnsi="楷体" w:eastAsia="楷体_GB2312" w:cs="楷体"/>
          <w:bCs/>
          <w:kern w:val="0"/>
          <w:sz w:val="32"/>
          <w:szCs w:val="32"/>
        </w:rPr>
        <w:t>处）</w:t>
      </w:r>
      <w:r>
        <w:rPr>
          <w:rFonts w:hint="eastAsia" w:ascii="楷体_GB2312" w:hAnsi="楷体" w:eastAsia="楷体_GB2312" w:cs="楷体"/>
          <w:bCs/>
          <w:kern w:val="0"/>
          <w:sz w:val="32"/>
          <w:szCs w:val="32"/>
        </w:rPr>
        <w:t>负责人</w:t>
      </w:r>
    </w:p>
    <w:p>
      <w:pPr>
        <w:snapToGrid w:val="0"/>
        <w:spacing w:line="480" w:lineRule="exact"/>
        <w:ind w:firstLine="627" w:firstLineChars="196"/>
        <w:rPr>
          <w:rFonts w:ascii="仿宋_GB2312" w:hAnsi="宋体" w:eastAsia="仿宋_GB2312" w:cs="宋体"/>
          <w:bCs/>
          <w:kern w:val="0"/>
          <w:sz w:val="32"/>
          <w:szCs w:val="32"/>
        </w:rPr>
      </w:pPr>
      <w:r>
        <w:rPr>
          <w:rFonts w:hint="eastAsia" w:ascii="仿宋_GB2312" w:eastAsia="仿宋_GB2312"/>
          <w:sz w:val="32"/>
          <w:szCs w:val="32"/>
        </w:rPr>
        <w:t>1．负责统计执法稽查全面工作，</w:t>
      </w:r>
      <w:r>
        <w:rPr>
          <w:rFonts w:hint="eastAsia" w:ascii="仿宋_GB2312" w:hAnsi="宋体" w:eastAsia="仿宋_GB2312" w:cs="宋体"/>
          <w:bCs/>
          <w:kern w:val="0"/>
          <w:sz w:val="32"/>
          <w:szCs w:val="32"/>
        </w:rPr>
        <w:t>协助局长、分管领导做好各项行政执法工作；</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2.确定市统计执法稽查年度工作计划和阶段性任务安排，并制定统计执法稽查配套的具体办法；</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3．负责依法检查本辖区统计法律、法规和规章以及统计制度的贯彻执行情况，查处各种统计违法行为，并研究统计执法稽查工作中的问题；</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4．按照国家和省统计局的有关规定，建立统计执法稽查档案，报告和通报全市统计执法稽查情况，负责统计违法案件的举证工作；</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5．加强统计执法稽查队伍建设，强化统计执法稽查人员业务培训和统计执法考核工作；</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6．完成本局领导交办的其他工作。</w:t>
      </w:r>
    </w:p>
    <w:p>
      <w:pPr>
        <w:snapToGrid w:val="0"/>
        <w:spacing w:line="480" w:lineRule="exact"/>
        <w:ind w:firstLine="627" w:firstLineChars="196"/>
        <w:rPr>
          <w:rFonts w:ascii="楷体_GB2312" w:hAnsi="楷体" w:eastAsia="楷体_GB2312" w:cs="楷体"/>
          <w:bCs/>
          <w:kern w:val="0"/>
          <w:sz w:val="32"/>
          <w:szCs w:val="32"/>
        </w:rPr>
      </w:pPr>
      <w:r>
        <w:rPr>
          <w:rFonts w:hint="eastAsia" w:ascii="楷体_GB2312" w:hAnsi="楷体" w:eastAsia="楷体_GB2312" w:cs="楷体"/>
          <w:bCs/>
          <w:kern w:val="0"/>
          <w:sz w:val="32"/>
          <w:szCs w:val="32"/>
        </w:rPr>
        <w:t>（四）行政执法人员</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1.贯彻执行统计执法检查方面法律、法规、规章及规范性文件，制定具体办法并组织实施；</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2.受理上级交办、相关部门、群众举报的统计违法案件，对全市统计违法案件进行督办、转办、查处；</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 xml:space="preserve">3.组织落实统计执法稽查计划，采取不定期联合统计执法稽查、重点稽查等方式组织开展统计执法稽查工作； </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加强统计执法稽查案卷管理，开展统计执法案卷评查工作，及统计违法案件听证、复议、应诉的举证工作；</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5.协调和指导统计执法稽查业务工作，加强统计执法稽查队伍建设，强化统计执法稽查人员业务培训工作；</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6.按照国家和省统计局的有关规定，撰写统计执法稽查政务要事、执法稽查情况报告、典型案例分析材料等执法稽查总结性报告，发布稽查通报、信息；</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7.总结研究统计执法稽查中出现的新情况、新问题，提出合理化、科学性建议，探索执法稽查新方式，为统计执法稽查提供依据。</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8.完成领导交办的其他工作。</w:t>
      </w:r>
    </w:p>
    <w:p>
      <w:pPr>
        <w:snapToGrid w:val="0"/>
        <w:spacing w:line="480" w:lineRule="exact"/>
        <w:ind w:firstLine="627" w:firstLineChars="196"/>
        <w:rPr>
          <w:rFonts w:ascii="仿宋_GB2312" w:hAnsi="宋体" w:eastAsia="仿宋_GB2312" w:cs="宋体"/>
          <w:b/>
          <w:kern w:val="0"/>
          <w:sz w:val="32"/>
          <w:szCs w:val="32"/>
        </w:rPr>
      </w:pPr>
      <w:r>
        <w:rPr>
          <w:rFonts w:hint="eastAsia" w:ascii="黑体" w:hAnsi="黑体" w:eastAsia="黑体" w:cs="黑体"/>
          <w:bCs/>
          <w:kern w:val="0"/>
          <w:sz w:val="32"/>
          <w:szCs w:val="32"/>
        </w:rPr>
        <w:t>四、岗位职责要求</w:t>
      </w:r>
    </w:p>
    <w:p>
      <w:pPr>
        <w:snapToGrid w:val="0"/>
        <w:spacing w:line="48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（一）统计</w:t>
      </w:r>
      <w:r>
        <w:rPr>
          <w:rFonts w:hint="eastAsia" w:ascii="仿宋_GB2312" w:eastAsia="仿宋_GB2312"/>
          <w:sz w:val="32"/>
          <w:szCs w:val="32"/>
        </w:rPr>
        <w:t>行政执法人员开展执法活动，应当依照法律、法规、规章的规定进行；没有法律、法规、规章的规定，</w:t>
      </w:r>
      <w:r>
        <w:rPr>
          <w:rFonts w:hint="eastAsia" w:ascii="仿宋_GB2312" w:eastAsia="仿宋_GB2312" w:cs="Arial"/>
          <w:color w:val="000000"/>
          <w:sz w:val="32"/>
          <w:szCs w:val="32"/>
        </w:rPr>
        <w:t>不得违法要求公民、法人或其他组织履行义务。</w:t>
      </w:r>
    </w:p>
    <w:p>
      <w:pPr>
        <w:snapToGrid w:val="0"/>
        <w:spacing w:line="480" w:lineRule="exact"/>
        <w:ind w:firstLine="640" w:firstLineChars="200"/>
        <w:rPr>
          <w:rFonts w:ascii="仿宋_GB2312" w:eastAsia="仿宋_GB2312"/>
          <w:sz w:val="32"/>
          <w:szCs w:val="32"/>
        </w:rPr>
      </w:pPr>
      <w:r>
        <w:rPr>
          <w:rFonts w:hint="eastAsia" w:ascii="仿宋_GB2312" w:eastAsia="仿宋_GB2312"/>
          <w:sz w:val="32"/>
          <w:szCs w:val="32"/>
        </w:rPr>
        <w:t>（二）统计行政执法人员开展执法活动，应当遵循公平、公正的原则。要平等对待统计行政管理相对人，不偏私、不歧视。</w:t>
      </w:r>
    </w:p>
    <w:p>
      <w:pPr>
        <w:snapToGrid w:val="0"/>
        <w:spacing w:line="480" w:lineRule="exact"/>
        <w:ind w:firstLine="640" w:firstLineChars="200"/>
        <w:rPr>
          <w:rFonts w:ascii="仿宋_GB2312" w:eastAsia="仿宋_GB2312"/>
          <w:sz w:val="32"/>
          <w:szCs w:val="32"/>
        </w:rPr>
      </w:pPr>
      <w:r>
        <w:rPr>
          <w:rFonts w:hint="eastAsia" w:ascii="仿宋_GB2312" w:eastAsia="仿宋_GB2312"/>
          <w:sz w:val="32"/>
          <w:szCs w:val="32"/>
        </w:rPr>
        <w:t>（三）行使自由裁量权应当符合法律目的，排除不相关因素的干扰；所采取的措施和手段应当必要、适当；执法机关开展执法活动可以采用多种方式实现行政目的的，应当避免采用损害当事人权益的方式。</w:t>
      </w:r>
    </w:p>
    <w:p>
      <w:pPr>
        <w:snapToGrid w:val="0"/>
        <w:spacing w:line="480" w:lineRule="exact"/>
        <w:ind w:firstLine="640" w:firstLineChars="200"/>
        <w:rPr>
          <w:rFonts w:ascii="仿宋_GB2312" w:eastAsia="仿宋_GB2312"/>
          <w:sz w:val="32"/>
          <w:szCs w:val="32"/>
        </w:rPr>
      </w:pPr>
      <w:r>
        <w:rPr>
          <w:rFonts w:hint="eastAsia" w:ascii="仿宋_GB2312" w:eastAsia="仿宋_GB2312"/>
          <w:sz w:val="32"/>
          <w:szCs w:val="32"/>
        </w:rPr>
        <w:t>（四）</w:t>
      </w:r>
      <w:r>
        <w:rPr>
          <w:rFonts w:ascii="仿宋_GB2312" w:eastAsia="仿宋_GB2312"/>
          <w:sz w:val="32"/>
          <w:szCs w:val="32"/>
        </w:rPr>
        <w:t>实施</w:t>
      </w:r>
      <w:r>
        <w:rPr>
          <w:rFonts w:hint="eastAsia" w:ascii="仿宋_GB2312" w:eastAsia="仿宋_GB2312"/>
          <w:sz w:val="32"/>
          <w:szCs w:val="32"/>
        </w:rPr>
        <w:t>统计</w:t>
      </w:r>
      <w:r>
        <w:rPr>
          <w:rFonts w:ascii="仿宋_GB2312" w:eastAsia="仿宋_GB2312"/>
          <w:sz w:val="32"/>
          <w:szCs w:val="32"/>
        </w:rPr>
        <w:t>行政执法必须严格遵守法定程序行使权力、做出决定。作出对统计行政管理相对人、利害关系人不利的行政执法决定之前，应当告知统计行政管理相对人、利害关系人，并给予其陈述和申辩的机会；作出</w:t>
      </w:r>
      <w:r>
        <w:rPr>
          <w:rFonts w:hint="eastAsia" w:ascii="仿宋_GB2312" w:eastAsia="仿宋_GB2312"/>
          <w:sz w:val="32"/>
          <w:szCs w:val="32"/>
        </w:rPr>
        <w:t>统计</w:t>
      </w:r>
      <w:r>
        <w:rPr>
          <w:rFonts w:ascii="仿宋_GB2312" w:eastAsia="仿宋_GB2312"/>
          <w:sz w:val="32"/>
          <w:szCs w:val="32"/>
        </w:rPr>
        <w:t>行政执法决定后，应当告知统计行政管理相对人依法享有申请行政复议或者提起行政诉讼的权利。依法应当组织听证的，统计行政管理相对人、利害关系人有要求的，应当及时组织听证。</w:t>
      </w:r>
      <w:r>
        <w:rPr>
          <w:rFonts w:hint="eastAsia" w:ascii="仿宋_GB2312" w:eastAsia="仿宋_GB2312"/>
          <w:sz w:val="32"/>
          <w:szCs w:val="32"/>
        </w:rPr>
        <w:t>统计</w:t>
      </w:r>
      <w:r>
        <w:rPr>
          <w:rFonts w:ascii="仿宋_GB2312" w:eastAsia="仿宋_GB2312"/>
          <w:sz w:val="32"/>
          <w:szCs w:val="32"/>
        </w:rPr>
        <w:t>行政执法人员履行执法职责，与统计行政管理相对人存在利害关系时，应当回避。</w:t>
      </w:r>
    </w:p>
    <w:p>
      <w:pPr>
        <w:autoSpaceDE w:val="0"/>
        <w:autoSpaceDN w:val="0"/>
        <w:adjustRightInd w:val="0"/>
        <w:snapToGrid w:val="0"/>
        <w:spacing w:line="480" w:lineRule="exact"/>
        <w:ind w:left="139" w:leftChars="66" w:firstLine="480" w:firstLineChars="150"/>
        <w:jc w:val="left"/>
        <w:rPr>
          <w:rFonts w:ascii="仿宋_GB2312" w:hAnsi="_x000B__x000C_" w:eastAsia="仿宋_GB2312"/>
          <w:color w:val="333333"/>
          <w:sz w:val="32"/>
          <w:szCs w:val="32"/>
        </w:rPr>
      </w:pPr>
      <w:r>
        <w:rPr>
          <w:rFonts w:hint="eastAsia" w:ascii="仿宋_GB2312" w:eastAsia="仿宋_GB2312" w:cs="Arial"/>
          <w:color w:val="000000"/>
          <w:sz w:val="32"/>
          <w:szCs w:val="32"/>
        </w:rPr>
        <w:t>（五）统计</w:t>
      </w:r>
      <w:r>
        <w:rPr>
          <w:rFonts w:hint="eastAsia" w:ascii="仿宋_GB2312" w:hAnsi="_x000B__x000C_" w:eastAsia="仿宋_GB2312"/>
          <w:color w:val="333333"/>
          <w:sz w:val="32"/>
          <w:szCs w:val="32"/>
        </w:rPr>
        <w:t>行政执法人员不得有下列行为：</w:t>
      </w:r>
    </w:p>
    <w:p>
      <w:pPr>
        <w:snapToGrid w:val="0"/>
        <w:spacing w:line="480" w:lineRule="exact"/>
        <w:ind w:firstLine="640" w:firstLineChars="200"/>
        <w:rPr>
          <w:rFonts w:ascii="仿宋_GB2312" w:eastAsia="仿宋_GB2312"/>
          <w:sz w:val="32"/>
          <w:szCs w:val="32"/>
        </w:rPr>
      </w:pPr>
      <w:r>
        <w:rPr>
          <w:rFonts w:hint="eastAsia" w:ascii="仿宋_GB2312" w:eastAsia="仿宋_GB2312"/>
          <w:sz w:val="32"/>
          <w:szCs w:val="32"/>
        </w:rPr>
        <w:t>1.不接受或不按规定组织实施统计执法检查，造成本地区、本部门、本单位重要统计数据失实的；</w:t>
      </w:r>
    </w:p>
    <w:p>
      <w:pPr>
        <w:snapToGrid w:val="0"/>
        <w:spacing w:line="480" w:lineRule="exact"/>
        <w:ind w:firstLine="640" w:firstLineChars="200"/>
        <w:rPr>
          <w:rFonts w:ascii="仿宋_GB2312" w:eastAsia="仿宋_GB2312"/>
          <w:sz w:val="32"/>
          <w:szCs w:val="32"/>
        </w:rPr>
      </w:pPr>
      <w:r>
        <w:rPr>
          <w:rFonts w:hint="eastAsia" w:ascii="仿宋_GB2312" w:eastAsia="仿宋_GB2312"/>
          <w:sz w:val="32"/>
          <w:szCs w:val="32"/>
        </w:rPr>
        <w:t>2.对抵制、揭发统计违法行为的单位和个人进行打击报复的；</w:t>
      </w:r>
    </w:p>
    <w:p>
      <w:pPr>
        <w:snapToGrid w:val="0"/>
        <w:spacing w:line="480" w:lineRule="exact"/>
        <w:ind w:firstLine="640" w:firstLineChars="200"/>
        <w:rPr>
          <w:rFonts w:ascii="仿宋_GB2312" w:eastAsia="仿宋_GB2312"/>
          <w:sz w:val="32"/>
          <w:szCs w:val="32"/>
        </w:rPr>
      </w:pPr>
      <w:r>
        <w:rPr>
          <w:rFonts w:hint="eastAsia" w:ascii="仿宋_GB2312" w:eastAsia="仿宋_GB2312"/>
          <w:sz w:val="32"/>
          <w:szCs w:val="32"/>
        </w:rPr>
        <w:t>3.瞒案不报，压案不查，包庇、纵容统计违法行为的；</w:t>
      </w:r>
    </w:p>
    <w:p>
      <w:pPr>
        <w:snapToGrid w:val="0"/>
        <w:spacing w:line="480" w:lineRule="exact"/>
        <w:ind w:firstLine="640" w:firstLineChars="200"/>
        <w:rPr>
          <w:rFonts w:ascii="仿宋_GB2312" w:eastAsia="仿宋_GB2312"/>
          <w:sz w:val="32"/>
          <w:szCs w:val="32"/>
        </w:rPr>
      </w:pPr>
      <w:r>
        <w:rPr>
          <w:rFonts w:hint="eastAsia" w:ascii="仿宋_GB2312" w:eastAsia="仿宋_GB2312"/>
          <w:sz w:val="32"/>
          <w:szCs w:val="32"/>
        </w:rPr>
        <w:t>4.不按法定权限、程序和要求执行公务，造成不利后果的；</w:t>
      </w:r>
    </w:p>
    <w:p>
      <w:pPr>
        <w:snapToGrid w:val="0"/>
        <w:spacing w:line="480" w:lineRule="exact"/>
        <w:ind w:firstLine="640" w:firstLineChars="200"/>
        <w:rPr>
          <w:rFonts w:ascii="仿宋_GB2312" w:eastAsia="仿宋_GB2312"/>
          <w:sz w:val="32"/>
          <w:szCs w:val="32"/>
        </w:rPr>
      </w:pPr>
      <w:r>
        <w:rPr>
          <w:rFonts w:hint="eastAsia" w:ascii="仿宋_GB2312" w:eastAsia="仿宋_GB2312"/>
          <w:sz w:val="32"/>
          <w:szCs w:val="32"/>
        </w:rPr>
        <w:t>5.违反保密规定，泄露举报人或案情的；</w:t>
      </w:r>
    </w:p>
    <w:p>
      <w:pPr>
        <w:snapToGrid w:val="0"/>
        <w:spacing w:line="480" w:lineRule="exact"/>
        <w:ind w:firstLine="640" w:firstLineChars="200"/>
        <w:rPr>
          <w:rFonts w:ascii="仿宋_GB2312" w:eastAsia="仿宋_GB2312"/>
          <w:sz w:val="32"/>
          <w:szCs w:val="32"/>
        </w:rPr>
      </w:pPr>
      <w:r>
        <w:rPr>
          <w:rFonts w:hint="eastAsia" w:ascii="仿宋_GB2312" w:eastAsia="仿宋_GB2312"/>
          <w:sz w:val="32"/>
          <w:szCs w:val="32"/>
        </w:rPr>
        <w:t>6.泄露在检查过程中知悉的被检查对象商业秘密和私人、家庭的单项调查资料，造成损害的；</w:t>
      </w:r>
    </w:p>
    <w:p>
      <w:pPr>
        <w:snapToGrid w:val="0"/>
        <w:spacing w:line="480" w:lineRule="exact"/>
        <w:ind w:firstLine="640" w:firstLineChars="200"/>
        <w:rPr>
          <w:rFonts w:ascii="仿宋_GB2312" w:eastAsia="仿宋_GB2312"/>
          <w:sz w:val="32"/>
          <w:szCs w:val="32"/>
        </w:rPr>
      </w:pPr>
      <w:r>
        <w:rPr>
          <w:rFonts w:hint="eastAsia" w:ascii="仿宋_GB2312" w:eastAsia="仿宋_GB2312"/>
          <w:sz w:val="32"/>
          <w:szCs w:val="32"/>
        </w:rPr>
        <w:t>7.滥用职权，徇私舞弊的；</w:t>
      </w:r>
    </w:p>
    <w:p>
      <w:pPr>
        <w:snapToGrid w:val="0"/>
        <w:spacing w:line="480" w:lineRule="exact"/>
        <w:ind w:firstLine="640" w:firstLineChars="200"/>
        <w:rPr>
          <w:rFonts w:ascii="仿宋_GB2312" w:eastAsia="仿宋_GB2312"/>
          <w:sz w:val="32"/>
          <w:szCs w:val="32"/>
        </w:rPr>
      </w:pPr>
      <w:r>
        <w:rPr>
          <w:rFonts w:hint="eastAsia" w:ascii="仿宋_GB2312" w:eastAsia="仿宋_GB2312"/>
          <w:sz w:val="32"/>
          <w:szCs w:val="32"/>
        </w:rPr>
        <w:t>8.其他违法违纪行为。</w:t>
      </w:r>
    </w:p>
    <w:p>
      <w:pPr>
        <w:autoSpaceDE w:val="0"/>
        <w:autoSpaceDN w:val="0"/>
        <w:adjustRightInd w:val="0"/>
        <w:snapToGrid w:val="0"/>
        <w:spacing w:line="480" w:lineRule="exact"/>
        <w:jc w:val="left"/>
        <w:rPr>
          <w:rFonts w:ascii="仿宋_GB2312" w:hAnsi="_x000B__x000C_" w:eastAsia="仿宋_GB2312"/>
          <w:color w:val="333333"/>
          <w:sz w:val="32"/>
          <w:szCs w:val="32"/>
        </w:rPr>
      </w:pPr>
      <w:r>
        <w:rPr>
          <w:rFonts w:hint="eastAsia" w:ascii="仿宋_GB2312" w:hAnsi="_x000B__x000C_" w:eastAsia="仿宋_GB2312"/>
          <w:color w:val="333333"/>
          <w:sz w:val="32"/>
          <w:szCs w:val="32"/>
        </w:rPr>
        <w:t xml:space="preserve"> </w:t>
      </w:r>
      <w:r>
        <w:rPr>
          <w:rFonts w:hint="eastAsia" w:ascii="黑体" w:hAnsi="黑体" w:eastAsia="黑体" w:cs="黑体"/>
          <w:color w:val="333333"/>
          <w:sz w:val="32"/>
          <w:szCs w:val="32"/>
        </w:rPr>
        <w:t xml:space="preserve">   五、局办公室和执法稽查办应每半年组织本单位梳理行政执法执法岗位人员调整情况，并相应修改行政执法岗位责任表。</w:t>
      </w:r>
    </w:p>
    <w:p>
      <w:pPr>
        <w:snapToGrid w:val="0"/>
        <w:spacing w:line="480" w:lineRule="exact"/>
        <w:rPr>
          <w:rFonts w:ascii="黑体" w:hAnsi="黑体" w:eastAsia="黑体" w:cs="黑体"/>
          <w:bCs/>
          <w:kern w:val="0"/>
          <w:sz w:val="32"/>
          <w:szCs w:val="32"/>
        </w:rPr>
      </w:pPr>
      <w:r>
        <w:rPr>
          <w:rFonts w:hint="eastAsia" w:ascii="黑体" w:hAnsi="黑体" w:eastAsia="黑体" w:cs="黑体"/>
          <w:bCs/>
          <w:kern w:val="0"/>
          <w:sz w:val="32"/>
          <w:szCs w:val="32"/>
        </w:rPr>
        <w:t xml:space="preserve">    六、本制度自印发之日起实施。</w:t>
      </w:r>
    </w:p>
    <w:p>
      <w:pPr>
        <w:snapToGrid w:val="0"/>
        <w:spacing w:line="520" w:lineRule="exact"/>
        <w:rPr>
          <w:rFonts w:ascii="黑体" w:hAnsi="黑体" w:eastAsia="黑体" w:cs="黑体"/>
          <w:bCs/>
          <w:kern w:val="0"/>
          <w:sz w:val="32"/>
          <w:szCs w:val="32"/>
        </w:rPr>
      </w:pPr>
      <w:r>
        <w:rPr>
          <w:rFonts w:hint="eastAsia" w:ascii="黑体" w:hAnsi="黑体" w:eastAsia="黑体" w:cs="黑体"/>
          <w:bCs/>
          <w:kern w:val="0"/>
          <w:sz w:val="32"/>
          <w:szCs w:val="32"/>
        </w:rPr>
        <w:t xml:space="preserve">        </w:t>
      </w:r>
    </w:p>
    <w:p>
      <w:pPr>
        <w:snapToGrid w:val="0"/>
        <w:spacing w:line="520" w:lineRule="exact"/>
        <w:rPr>
          <w:rFonts w:ascii="仿宋_GB2312" w:hAnsi="仿宋_GB2312" w:eastAsia="仿宋_GB2312" w:cs="仿宋_GB2312"/>
          <w:bCs/>
          <w:kern w:val="0"/>
          <w:sz w:val="32"/>
          <w:szCs w:val="32"/>
        </w:rPr>
      </w:pPr>
      <w:r>
        <w:rPr>
          <w:rFonts w:hint="eastAsia" w:ascii="黑体" w:hAnsi="黑体" w:eastAsia="黑体" w:cs="黑体"/>
          <w:bCs/>
          <w:kern w:val="0"/>
          <w:sz w:val="32"/>
          <w:szCs w:val="32"/>
        </w:rPr>
        <w:t xml:space="preserve">    </w:t>
      </w:r>
      <w:r>
        <w:rPr>
          <w:rFonts w:hint="eastAsia" w:ascii="仿宋_GB2312" w:hAnsi="仿宋_GB2312" w:eastAsia="仿宋_GB2312" w:cs="仿宋_GB2312"/>
          <w:bCs/>
          <w:kern w:val="0"/>
          <w:sz w:val="32"/>
          <w:szCs w:val="32"/>
        </w:rPr>
        <w:t>附件：行政执法岗位人员责任表</w:t>
      </w:r>
    </w:p>
    <w:p>
      <w:pPr>
        <w:snapToGrid w:val="0"/>
        <w:spacing w:line="520" w:lineRule="exact"/>
        <w:ind w:left="1920" w:hanging="1920" w:hangingChars="6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w:t>
      </w:r>
    </w:p>
    <w:p>
      <w:pPr>
        <w:snapToGrid w:val="0"/>
        <w:spacing w:line="520" w:lineRule="exac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w:t>
      </w:r>
    </w:p>
    <w:p>
      <w:pPr>
        <w:snapToGrid w:val="0"/>
        <w:spacing w:line="520" w:lineRule="exact"/>
        <w:rPr>
          <w:rFonts w:ascii="仿宋_GB2312" w:hAnsi="仿宋_GB2312" w:eastAsia="仿宋_GB2312" w:cs="仿宋_GB2312"/>
          <w:bCs/>
          <w:kern w:val="0"/>
          <w:sz w:val="32"/>
          <w:szCs w:val="32"/>
        </w:rPr>
      </w:pPr>
    </w:p>
    <w:p>
      <w:pPr>
        <w:snapToGrid w:val="0"/>
        <w:spacing w:line="520" w:lineRule="exact"/>
        <w:rPr>
          <w:rFonts w:ascii="仿宋_GB2312" w:hAnsi="仿宋_GB2312" w:eastAsia="仿宋_GB2312" w:cs="仿宋_GB2312"/>
          <w:b/>
          <w:kern w:val="0"/>
          <w:sz w:val="32"/>
          <w:szCs w:val="32"/>
        </w:rPr>
      </w:pPr>
    </w:p>
    <w:p>
      <w:pPr>
        <w:snapToGrid w:val="0"/>
        <w:spacing w:line="520" w:lineRule="exact"/>
        <w:rPr>
          <w:rFonts w:ascii="仿宋_GB2312" w:hAnsi="仿宋_GB2312" w:eastAsia="仿宋_GB2312" w:cs="仿宋_GB2312"/>
          <w:b/>
          <w:kern w:val="0"/>
          <w:sz w:val="32"/>
          <w:szCs w:val="32"/>
        </w:rPr>
      </w:pPr>
    </w:p>
    <w:p>
      <w:pPr>
        <w:snapToGrid w:val="0"/>
        <w:spacing w:line="520" w:lineRule="exact"/>
        <w:rPr>
          <w:rFonts w:ascii="黑体" w:hAnsi="宋体" w:eastAsia="黑体" w:cs="宋体"/>
          <w:kern w:val="0"/>
          <w:sz w:val="32"/>
          <w:szCs w:val="32"/>
        </w:rPr>
      </w:pPr>
    </w:p>
    <w:p>
      <w:pPr>
        <w:snapToGrid w:val="0"/>
        <w:spacing w:line="520" w:lineRule="exact"/>
        <w:rPr>
          <w:rFonts w:ascii="黑体" w:hAnsi="宋体" w:eastAsia="黑体" w:cs="宋体"/>
          <w:kern w:val="0"/>
          <w:sz w:val="32"/>
          <w:szCs w:val="32"/>
        </w:rPr>
      </w:pPr>
    </w:p>
    <w:p>
      <w:pPr>
        <w:snapToGrid w:val="0"/>
        <w:spacing w:line="520" w:lineRule="exact"/>
        <w:rPr>
          <w:rFonts w:ascii="黑体" w:hAnsi="宋体" w:eastAsia="黑体" w:cs="宋体"/>
          <w:kern w:val="0"/>
          <w:sz w:val="32"/>
          <w:szCs w:val="32"/>
        </w:rPr>
      </w:pPr>
    </w:p>
    <w:p>
      <w:pPr>
        <w:snapToGrid w:val="0"/>
        <w:spacing w:line="520" w:lineRule="exact"/>
        <w:rPr>
          <w:rFonts w:ascii="黑体" w:hAnsi="宋体" w:eastAsia="黑体" w:cs="宋体"/>
          <w:kern w:val="0"/>
          <w:sz w:val="32"/>
          <w:szCs w:val="32"/>
        </w:rPr>
      </w:pPr>
    </w:p>
    <w:p>
      <w:pPr>
        <w:snapToGrid w:val="0"/>
        <w:spacing w:line="520" w:lineRule="exact"/>
        <w:rPr>
          <w:rFonts w:ascii="黑体" w:hAnsi="宋体" w:eastAsia="黑体" w:cs="宋体"/>
          <w:kern w:val="0"/>
          <w:sz w:val="32"/>
          <w:szCs w:val="32"/>
        </w:rPr>
      </w:pPr>
    </w:p>
    <w:p>
      <w:pPr>
        <w:snapToGrid w:val="0"/>
        <w:spacing w:line="520" w:lineRule="exact"/>
        <w:rPr>
          <w:rFonts w:ascii="黑体" w:hAnsi="宋体" w:eastAsia="黑体" w:cs="宋体"/>
          <w:kern w:val="0"/>
          <w:sz w:val="32"/>
          <w:szCs w:val="32"/>
        </w:rPr>
      </w:pPr>
    </w:p>
    <w:p>
      <w:pPr>
        <w:snapToGrid w:val="0"/>
        <w:spacing w:line="520" w:lineRule="exact"/>
        <w:rPr>
          <w:rFonts w:ascii="黑体" w:hAnsi="宋体" w:eastAsia="黑体" w:cs="宋体"/>
          <w:kern w:val="0"/>
          <w:sz w:val="32"/>
          <w:szCs w:val="32"/>
        </w:rPr>
      </w:pPr>
    </w:p>
    <w:p>
      <w:pPr>
        <w:snapToGrid w:val="0"/>
        <w:spacing w:line="520" w:lineRule="exact"/>
        <w:rPr>
          <w:rFonts w:ascii="黑体" w:hAnsi="宋体" w:eastAsia="黑体" w:cs="宋体"/>
          <w:kern w:val="0"/>
          <w:sz w:val="32"/>
          <w:szCs w:val="32"/>
        </w:rPr>
      </w:pPr>
      <w:r>
        <w:rPr>
          <w:rFonts w:hint="eastAsia" w:ascii="黑体" w:hAnsi="宋体" w:eastAsia="黑体" w:cs="宋体"/>
          <w:kern w:val="0"/>
          <w:sz w:val="32"/>
          <w:szCs w:val="32"/>
        </w:rPr>
        <w:t>附件1</w:t>
      </w:r>
    </w:p>
    <w:p>
      <w:pPr>
        <w:snapToGrid w:val="0"/>
        <w:spacing w:line="520" w:lineRule="exact"/>
        <w:rPr>
          <w:rFonts w:ascii="仿宋_GB2312" w:hAnsi="宋体" w:eastAsia="仿宋_GB2312" w:cs="宋体"/>
          <w:kern w:val="0"/>
          <w:sz w:val="32"/>
          <w:szCs w:val="32"/>
        </w:rPr>
      </w:pPr>
    </w:p>
    <w:p>
      <w:pPr>
        <w:snapToGrid w:val="0"/>
        <w:spacing w:line="520" w:lineRule="exact"/>
        <w:jc w:val="center"/>
        <w:rPr>
          <w:rFonts w:ascii="宋体" w:hAnsi="宋体" w:cs="宋体"/>
          <w:kern w:val="0"/>
          <w:sz w:val="44"/>
          <w:szCs w:val="44"/>
        </w:rPr>
      </w:pPr>
      <w:r>
        <w:rPr>
          <w:rFonts w:hint="eastAsia" w:ascii="宋体" w:hAnsi="宋体" w:cs="宋体"/>
          <w:kern w:val="0"/>
          <w:sz w:val="44"/>
          <w:szCs w:val="44"/>
        </w:rPr>
        <w:t>行政执法岗位人员责任表</w:t>
      </w:r>
    </w:p>
    <w:tbl>
      <w:tblPr>
        <w:tblStyle w:val="15"/>
        <w:tblpPr w:leftFromText="180" w:rightFromText="180" w:vertAnchor="text" w:horzAnchor="margin" w:tblpY="470"/>
        <w:tblW w:w="8984" w:type="dxa"/>
        <w:tblInd w:w="0" w:type="dxa"/>
        <w:tblLayout w:type="fixed"/>
        <w:tblCellMar>
          <w:top w:w="0" w:type="dxa"/>
          <w:left w:w="108" w:type="dxa"/>
          <w:bottom w:w="0" w:type="dxa"/>
          <w:right w:w="108" w:type="dxa"/>
        </w:tblCellMar>
      </w:tblPr>
      <w:tblGrid>
        <w:gridCol w:w="1526"/>
        <w:gridCol w:w="1276"/>
        <w:gridCol w:w="2258"/>
        <w:gridCol w:w="3924"/>
      </w:tblGrid>
      <w:tr>
        <w:tblPrEx>
          <w:tblCellMar>
            <w:top w:w="0" w:type="dxa"/>
            <w:left w:w="108" w:type="dxa"/>
            <w:bottom w:w="0" w:type="dxa"/>
            <w:right w:w="108" w:type="dxa"/>
          </w:tblCellMar>
        </w:tblPrEx>
        <w:trPr>
          <w:trHeight w:val="405" w:hRule="atLeast"/>
        </w:trPr>
        <w:tc>
          <w:tcPr>
            <w:tcW w:w="1526" w:type="dxa"/>
            <w:tcBorders>
              <w:top w:val="single" w:color="auto" w:sz="4" w:space="0"/>
              <w:left w:val="single" w:color="auto" w:sz="4" w:space="0"/>
              <w:bottom w:val="single" w:color="auto" w:sz="4" w:space="0"/>
              <w:right w:val="single" w:color="auto" w:sz="4" w:space="0"/>
            </w:tcBorders>
            <w:vAlign w:val="center"/>
          </w:tcPr>
          <w:p>
            <w:pPr>
              <w:widowControl/>
              <w:snapToGrid w:val="0"/>
              <w:spacing w:line="520" w:lineRule="exact"/>
              <w:jc w:val="center"/>
              <w:rPr>
                <w:rFonts w:ascii="楷体_GB2312" w:hAnsi="楷体" w:eastAsia="楷体_GB2312" w:cs="宋体"/>
                <w:color w:val="000000"/>
                <w:kern w:val="0"/>
                <w:sz w:val="32"/>
                <w:szCs w:val="32"/>
              </w:rPr>
            </w:pPr>
            <w:r>
              <w:rPr>
                <w:rFonts w:hint="eastAsia" w:ascii="楷体_GB2312" w:hAnsi="楷体" w:eastAsia="楷体_GB2312" w:cs="宋体"/>
                <w:color w:val="000000"/>
                <w:kern w:val="0"/>
                <w:sz w:val="32"/>
                <w:szCs w:val="32"/>
              </w:rPr>
              <w:t>名  称</w:t>
            </w:r>
          </w:p>
        </w:tc>
        <w:tc>
          <w:tcPr>
            <w:tcW w:w="1276" w:type="dxa"/>
            <w:tcBorders>
              <w:top w:val="single" w:color="auto" w:sz="4" w:space="0"/>
              <w:left w:val="nil"/>
              <w:bottom w:val="single" w:color="auto" w:sz="4" w:space="0"/>
              <w:right w:val="single" w:color="auto" w:sz="4" w:space="0"/>
            </w:tcBorders>
            <w:vAlign w:val="center"/>
          </w:tcPr>
          <w:p>
            <w:pPr>
              <w:widowControl/>
              <w:snapToGrid w:val="0"/>
              <w:spacing w:line="520" w:lineRule="exact"/>
              <w:jc w:val="center"/>
              <w:rPr>
                <w:rFonts w:ascii="楷体_GB2312" w:hAnsi="楷体" w:eastAsia="楷体_GB2312" w:cs="宋体"/>
                <w:color w:val="000000"/>
                <w:kern w:val="0"/>
                <w:sz w:val="32"/>
                <w:szCs w:val="32"/>
              </w:rPr>
            </w:pPr>
            <w:r>
              <w:rPr>
                <w:rFonts w:hint="eastAsia" w:ascii="楷体_GB2312" w:hAnsi="楷体" w:eastAsia="楷体_GB2312" w:cs="宋体"/>
                <w:color w:val="000000"/>
                <w:kern w:val="0"/>
                <w:sz w:val="32"/>
                <w:szCs w:val="32"/>
              </w:rPr>
              <w:t>姓  名</w:t>
            </w:r>
          </w:p>
        </w:tc>
        <w:tc>
          <w:tcPr>
            <w:tcW w:w="2258" w:type="dxa"/>
            <w:tcBorders>
              <w:top w:val="single" w:color="auto" w:sz="4" w:space="0"/>
              <w:left w:val="nil"/>
              <w:bottom w:val="single" w:color="auto" w:sz="4" w:space="0"/>
              <w:right w:val="single" w:color="auto" w:sz="4" w:space="0"/>
            </w:tcBorders>
            <w:vAlign w:val="center"/>
          </w:tcPr>
          <w:p>
            <w:pPr>
              <w:widowControl/>
              <w:snapToGrid w:val="0"/>
              <w:spacing w:line="520" w:lineRule="exact"/>
              <w:jc w:val="center"/>
              <w:rPr>
                <w:rFonts w:ascii="楷体_GB2312" w:hAnsi="楷体" w:eastAsia="楷体_GB2312" w:cs="宋体"/>
                <w:color w:val="000000"/>
                <w:kern w:val="0"/>
                <w:sz w:val="32"/>
                <w:szCs w:val="32"/>
              </w:rPr>
            </w:pPr>
            <w:r>
              <w:rPr>
                <w:rFonts w:hint="eastAsia" w:ascii="楷体_GB2312" w:hAnsi="楷体" w:eastAsia="楷体_GB2312" w:cs="宋体"/>
                <w:color w:val="000000"/>
                <w:kern w:val="0"/>
                <w:sz w:val="32"/>
                <w:szCs w:val="32"/>
              </w:rPr>
              <w:t>职  务</w:t>
            </w:r>
          </w:p>
        </w:tc>
        <w:tc>
          <w:tcPr>
            <w:tcW w:w="3924" w:type="dxa"/>
            <w:tcBorders>
              <w:top w:val="single" w:color="auto" w:sz="4" w:space="0"/>
              <w:left w:val="nil"/>
              <w:bottom w:val="single" w:color="auto" w:sz="4" w:space="0"/>
              <w:right w:val="single" w:color="auto" w:sz="4" w:space="0"/>
            </w:tcBorders>
            <w:vAlign w:val="center"/>
          </w:tcPr>
          <w:p>
            <w:pPr>
              <w:widowControl/>
              <w:snapToGrid w:val="0"/>
              <w:spacing w:line="520" w:lineRule="exact"/>
              <w:jc w:val="center"/>
              <w:rPr>
                <w:rFonts w:ascii="楷体_GB2312" w:hAnsi="楷体" w:eastAsia="楷体_GB2312" w:cs="宋体"/>
                <w:color w:val="000000"/>
                <w:kern w:val="0"/>
                <w:sz w:val="32"/>
                <w:szCs w:val="32"/>
              </w:rPr>
            </w:pPr>
            <w:r>
              <w:rPr>
                <w:rFonts w:hint="eastAsia" w:ascii="楷体_GB2312" w:hAnsi="楷体" w:eastAsia="楷体_GB2312" w:cs="宋体"/>
                <w:color w:val="000000"/>
                <w:kern w:val="0"/>
                <w:sz w:val="32"/>
                <w:szCs w:val="32"/>
              </w:rPr>
              <w:t>主要职责和任务</w:t>
            </w:r>
          </w:p>
        </w:tc>
      </w:tr>
      <w:tr>
        <w:tblPrEx>
          <w:tblCellMar>
            <w:top w:w="0" w:type="dxa"/>
            <w:left w:w="108" w:type="dxa"/>
            <w:bottom w:w="0" w:type="dxa"/>
            <w:right w:w="108" w:type="dxa"/>
          </w:tblCellMar>
        </w:tblPrEx>
        <w:trPr>
          <w:trHeight w:val="585" w:hRule="atLeast"/>
        </w:trPr>
        <w:tc>
          <w:tcPr>
            <w:tcW w:w="1526" w:type="dxa"/>
            <w:vMerge w:val="restart"/>
            <w:tcBorders>
              <w:top w:val="nil"/>
              <w:left w:val="single" w:color="auto" w:sz="4" w:space="0"/>
              <w:bottom w:val="single" w:color="auto" w:sz="4" w:space="0"/>
              <w:right w:val="single" w:color="auto" w:sz="4" w:space="0"/>
            </w:tcBorders>
            <w:vAlign w:val="center"/>
          </w:tcPr>
          <w:p>
            <w:pPr>
              <w:widowControl/>
              <w:snapToGrid w:val="0"/>
              <w:spacing w:line="520" w:lineRule="exact"/>
              <w:jc w:val="center"/>
              <w:rPr>
                <w:rFonts w:ascii="楷体_GB2312" w:hAnsi="楷体" w:eastAsia="楷体_GB2312" w:cs="宋体"/>
                <w:color w:val="000000"/>
                <w:kern w:val="0"/>
                <w:sz w:val="32"/>
                <w:szCs w:val="32"/>
              </w:rPr>
            </w:pPr>
            <w:r>
              <w:rPr>
                <w:rFonts w:hint="eastAsia" w:ascii="楷体_GB2312" w:hAnsi="楷体" w:eastAsia="楷体_GB2312" w:cs="宋体"/>
                <w:color w:val="000000"/>
                <w:kern w:val="0"/>
                <w:sz w:val="32"/>
                <w:szCs w:val="32"/>
              </w:rPr>
              <w:t>局领导</w:t>
            </w:r>
          </w:p>
        </w:tc>
        <w:tc>
          <w:tcPr>
            <w:tcW w:w="1276" w:type="dxa"/>
            <w:tcBorders>
              <w:top w:val="nil"/>
              <w:left w:val="nil"/>
              <w:bottom w:val="single" w:color="auto" w:sz="4" w:space="0"/>
              <w:right w:val="single" w:color="auto" w:sz="4" w:space="0"/>
            </w:tcBorders>
            <w:vAlign w:val="center"/>
          </w:tcPr>
          <w:p>
            <w:pPr>
              <w:widowControl/>
              <w:snapToGrid w:val="0"/>
              <w:spacing w:line="520" w:lineRule="exact"/>
              <w:jc w:val="center"/>
              <w:rPr>
                <w:rFonts w:hint="default" w:ascii="楷体_GB2312" w:hAnsi="楷体" w:eastAsia="楷体_GB2312" w:cs="宋体"/>
                <w:color w:val="000000"/>
                <w:kern w:val="0"/>
                <w:sz w:val="32"/>
                <w:szCs w:val="32"/>
              </w:rPr>
            </w:pPr>
            <w:r>
              <w:rPr>
                <w:rFonts w:hint="default" w:ascii="楷体_GB2312" w:hAnsi="楷体" w:eastAsia="楷体_GB2312" w:cs="宋体"/>
                <w:color w:val="000000"/>
                <w:kern w:val="0"/>
                <w:sz w:val="32"/>
                <w:szCs w:val="32"/>
              </w:rPr>
              <w:t>郭驰</w:t>
            </w:r>
          </w:p>
        </w:tc>
        <w:tc>
          <w:tcPr>
            <w:tcW w:w="2258" w:type="dxa"/>
            <w:tcBorders>
              <w:top w:val="nil"/>
              <w:left w:val="nil"/>
              <w:bottom w:val="single" w:color="auto" w:sz="4" w:space="0"/>
              <w:right w:val="single" w:color="auto" w:sz="4" w:space="0"/>
            </w:tcBorders>
            <w:vAlign w:val="center"/>
          </w:tcPr>
          <w:p>
            <w:pPr>
              <w:widowControl/>
              <w:snapToGrid w:val="0"/>
              <w:spacing w:line="520" w:lineRule="exact"/>
              <w:jc w:val="center"/>
              <w:rPr>
                <w:rFonts w:ascii="楷体_GB2312" w:hAnsi="楷体" w:eastAsia="楷体_GB2312" w:cs="宋体"/>
                <w:color w:val="000000"/>
                <w:kern w:val="0"/>
                <w:sz w:val="32"/>
                <w:szCs w:val="32"/>
              </w:rPr>
            </w:pPr>
            <w:r>
              <w:rPr>
                <w:rFonts w:hint="eastAsia" w:ascii="楷体_GB2312" w:hAnsi="楷体" w:eastAsia="楷体_GB2312" w:cs="宋体"/>
                <w:color w:val="000000"/>
                <w:kern w:val="0"/>
                <w:sz w:val="32"/>
                <w:szCs w:val="32"/>
              </w:rPr>
              <w:t>局长</w:t>
            </w:r>
          </w:p>
        </w:tc>
        <w:tc>
          <w:tcPr>
            <w:tcW w:w="3924" w:type="dxa"/>
            <w:tcBorders>
              <w:top w:val="nil"/>
              <w:left w:val="nil"/>
              <w:bottom w:val="single" w:color="auto" w:sz="4" w:space="0"/>
              <w:right w:val="single" w:color="auto" w:sz="4" w:space="0"/>
            </w:tcBorders>
            <w:vAlign w:val="center"/>
          </w:tcPr>
          <w:p>
            <w:pPr>
              <w:widowControl/>
              <w:snapToGrid w:val="0"/>
              <w:spacing w:line="520" w:lineRule="exact"/>
              <w:jc w:val="left"/>
              <w:rPr>
                <w:rFonts w:ascii="楷体_GB2312" w:hAnsi="楷体" w:eastAsia="楷体_GB2312" w:cs="宋体"/>
                <w:color w:val="000000"/>
                <w:kern w:val="0"/>
                <w:sz w:val="32"/>
                <w:szCs w:val="32"/>
              </w:rPr>
            </w:pPr>
            <w:r>
              <w:rPr>
                <w:rFonts w:hint="eastAsia" w:ascii="楷体_GB2312" w:hAnsi="楷体" w:eastAsia="楷体_GB2312" w:cs="宋体"/>
                <w:color w:val="000000"/>
                <w:kern w:val="0"/>
                <w:sz w:val="32"/>
                <w:szCs w:val="32"/>
              </w:rPr>
              <w:t>负责统计全面工作</w:t>
            </w:r>
          </w:p>
        </w:tc>
      </w:tr>
      <w:tr>
        <w:tblPrEx>
          <w:tblCellMar>
            <w:top w:w="0" w:type="dxa"/>
            <w:left w:w="108" w:type="dxa"/>
            <w:bottom w:w="0" w:type="dxa"/>
            <w:right w:w="108" w:type="dxa"/>
          </w:tblCellMar>
        </w:tblPrEx>
        <w:trPr>
          <w:trHeight w:val="585" w:hRule="atLeast"/>
        </w:trPr>
        <w:tc>
          <w:tcPr>
            <w:tcW w:w="1526" w:type="dxa"/>
            <w:vMerge w:val="continue"/>
            <w:tcBorders>
              <w:top w:val="nil"/>
              <w:left w:val="single" w:color="auto" w:sz="4" w:space="0"/>
              <w:bottom w:val="single" w:color="auto" w:sz="4" w:space="0"/>
              <w:right w:val="single" w:color="auto" w:sz="4" w:space="0"/>
            </w:tcBorders>
            <w:vAlign w:val="center"/>
          </w:tcPr>
          <w:p>
            <w:pPr>
              <w:widowControl/>
              <w:snapToGrid w:val="0"/>
              <w:spacing w:line="520" w:lineRule="exact"/>
              <w:jc w:val="left"/>
              <w:rPr>
                <w:rFonts w:ascii="楷体_GB2312" w:hAnsi="楷体" w:eastAsia="楷体_GB2312" w:cs="宋体"/>
                <w:color w:val="000000"/>
                <w:kern w:val="0"/>
                <w:sz w:val="32"/>
                <w:szCs w:val="32"/>
              </w:rPr>
            </w:pPr>
          </w:p>
        </w:tc>
        <w:tc>
          <w:tcPr>
            <w:tcW w:w="1276" w:type="dxa"/>
            <w:tcBorders>
              <w:top w:val="nil"/>
              <w:left w:val="nil"/>
              <w:bottom w:val="single" w:color="auto" w:sz="4" w:space="0"/>
              <w:right w:val="single" w:color="auto" w:sz="4" w:space="0"/>
            </w:tcBorders>
            <w:vAlign w:val="center"/>
          </w:tcPr>
          <w:p>
            <w:pPr>
              <w:widowControl/>
              <w:snapToGrid w:val="0"/>
              <w:spacing w:line="520" w:lineRule="exact"/>
              <w:jc w:val="center"/>
              <w:rPr>
                <w:rFonts w:hint="default" w:ascii="楷体_GB2312" w:hAnsi="楷体" w:eastAsia="楷体_GB2312" w:cs="宋体"/>
                <w:color w:val="000000"/>
                <w:kern w:val="0"/>
                <w:sz w:val="32"/>
                <w:szCs w:val="32"/>
              </w:rPr>
            </w:pPr>
            <w:r>
              <w:rPr>
                <w:rFonts w:hint="default" w:ascii="楷体_GB2312" w:hAnsi="楷体" w:eastAsia="楷体_GB2312" w:cs="宋体"/>
                <w:color w:val="000000"/>
                <w:kern w:val="0"/>
                <w:sz w:val="32"/>
                <w:szCs w:val="32"/>
              </w:rPr>
              <w:t>杨涛</w:t>
            </w:r>
          </w:p>
        </w:tc>
        <w:tc>
          <w:tcPr>
            <w:tcW w:w="2258" w:type="dxa"/>
            <w:tcBorders>
              <w:top w:val="nil"/>
              <w:left w:val="nil"/>
              <w:bottom w:val="single" w:color="auto" w:sz="4" w:space="0"/>
              <w:right w:val="single" w:color="auto" w:sz="4" w:space="0"/>
            </w:tcBorders>
            <w:vAlign w:val="center"/>
          </w:tcPr>
          <w:p>
            <w:pPr>
              <w:widowControl/>
              <w:snapToGrid w:val="0"/>
              <w:spacing w:line="520" w:lineRule="exact"/>
              <w:jc w:val="center"/>
              <w:rPr>
                <w:rFonts w:hint="default" w:ascii="楷体_GB2312" w:hAnsi="楷体" w:eastAsia="楷体_GB2312" w:cs="宋体"/>
                <w:color w:val="000000"/>
                <w:kern w:val="0"/>
                <w:sz w:val="32"/>
                <w:szCs w:val="32"/>
              </w:rPr>
            </w:pPr>
            <w:r>
              <w:rPr>
                <w:rFonts w:hint="default" w:ascii="楷体_GB2312" w:hAnsi="楷体" w:eastAsia="楷体_GB2312" w:cs="宋体"/>
                <w:color w:val="000000"/>
                <w:kern w:val="0"/>
                <w:sz w:val="32"/>
                <w:szCs w:val="32"/>
              </w:rPr>
              <w:t>副局长</w:t>
            </w:r>
          </w:p>
        </w:tc>
        <w:tc>
          <w:tcPr>
            <w:tcW w:w="3924" w:type="dxa"/>
            <w:tcBorders>
              <w:top w:val="nil"/>
              <w:left w:val="nil"/>
              <w:bottom w:val="single" w:color="auto" w:sz="4" w:space="0"/>
              <w:right w:val="single" w:color="auto" w:sz="4" w:space="0"/>
            </w:tcBorders>
            <w:vAlign w:val="center"/>
          </w:tcPr>
          <w:p>
            <w:pPr>
              <w:widowControl/>
              <w:snapToGrid w:val="0"/>
              <w:spacing w:line="520" w:lineRule="exact"/>
              <w:jc w:val="left"/>
              <w:rPr>
                <w:rFonts w:ascii="楷体_GB2312" w:hAnsi="楷体" w:eastAsia="楷体_GB2312" w:cs="宋体"/>
                <w:color w:val="000000"/>
                <w:kern w:val="0"/>
                <w:sz w:val="32"/>
                <w:szCs w:val="32"/>
              </w:rPr>
            </w:pPr>
            <w:r>
              <w:rPr>
                <w:rFonts w:hint="eastAsia" w:ascii="楷体_GB2312" w:hAnsi="楷体" w:eastAsia="楷体_GB2312" w:cs="宋体"/>
                <w:color w:val="000000"/>
                <w:kern w:val="0"/>
                <w:sz w:val="32"/>
                <w:szCs w:val="32"/>
              </w:rPr>
              <w:t>分管统计行政执法工作</w:t>
            </w:r>
          </w:p>
        </w:tc>
      </w:tr>
      <w:tr>
        <w:tblPrEx>
          <w:tblCellMar>
            <w:top w:w="0" w:type="dxa"/>
            <w:left w:w="108" w:type="dxa"/>
            <w:bottom w:w="0" w:type="dxa"/>
            <w:right w:w="108" w:type="dxa"/>
          </w:tblCellMar>
        </w:tblPrEx>
        <w:trPr>
          <w:trHeight w:val="891" w:hRule="atLeast"/>
        </w:trPr>
        <w:tc>
          <w:tcPr>
            <w:tcW w:w="1526" w:type="dxa"/>
            <w:vMerge w:val="restart"/>
            <w:tcBorders>
              <w:top w:val="nil"/>
              <w:left w:val="single" w:color="auto" w:sz="4" w:space="0"/>
              <w:bottom w:val="single" w:color="auto" w:sz="4" w:space="0"/>
              <w:right w:val="single" w:color="auto" w:sz="4" w:space="0"/>
            </w:tcBorders>
            <w:vAlign w:val="center"/>
          </w:tcPr>
          <w:p>
            <w:pPr>
              <w:widowControl/>
              <w:snapToGrid w:val="0"/>
              <w:spacing w:line="520" w:lineRule="exact"/>
              <w:jc w:val="center"/>
              <w:rPr>
                <w:rFonts w:hint="eastAsia" w:ascii="楷体_GB2312" w:hAnsi="楷体" w:eastAsia="楷体_GB2312" w:cs="宋体"/>
                <w:color w:val="000000"/>
                <w:kern w:val="0"/>
                <w:sz w:val="32"/>
                <w:szCs w:val="32"/>
              </w:rPr>
            </w:pPr>
            <w:r>
              <w:rPr>
                <w:rFonts w:hint="default" w:ascii="楷体_GB2312" w:hAnsi="楷体" w:eastAsia="楷体_GB2312" w:cs="宋体"/>
                <w:color w:val="000000"/>
                <w:kern w:val="0"/>
                <w:sz w:val="32"/>
                <w:szCs w:val="32"/>
              </w:rPr>
              <w:t>政策法规处（</w:t>
            </w:r>
            <w:r>
              <w:rPr>
                <w:rFonts w:hint="eastAsia" w:ascii="楷体_GB2312" w:hAnsi="楷体" w:eastAsia="楷体_GB2312" w:cs="宋体"/>
                <w:color w:val="000000"/>
                <w:kern w:val="0"/>
                <w:sz w:val="32"/>
                <w:szCs w:val="32"/>
              </w:rPr>
              <w:t>执法</w:t>
            </w:r>
          </w:p>
          <w:p>
            <w:pPr>
              <w:widowControl/>
              <w:snapToGrid w:val="0"/>
              <w:spacing w:line="520" w:lineRule="exact"/>
              <w:jc w:val="center"/>
              <w:rPr>
                <w:rFonts w:hint="default" w:ascii="楷体_GB2312" w:hAnsi="楷体" w:eastAsia="楷体_GB2312" w:cs="宋体"/>
                <w:color w:val="000000"/>
                <w:kern w:val="0"/>
                <w:sz w:val="32"/>
                <w:szCs w:val="32"/>
              </w:rPr>
            </w:pPr>
            <w:r>
              <w:rPr>
                <w:rFonts w:hint="eastAsia" w:ascii="楷体_GB2312" w:hAnsi="楷体" w:eastAsia="楷体_GB2312" w:cs="宋体"/>
                <w:color w:val="000000"/>
                <w:kern w:val="0"/>
                <w:sz w:val="32"/>
                <w:szCs w:val="32"/>
              </w:rPr>
              <w:t>稽查</w:t>
            </w:r>
            <w:r>
              <w:rPr>
                <w:rFonts w:hint="default" w:ascii="楷体_GB2312" w:hAnsi="楷体" w:eastAsia="楷体_GB2312" w:cs="宋体"/>
                <w:color w:val="000000"/>
                <w:kern w:val="0"/>
                <w:sz w:val="32"/>
                <w:szCs w:val="32"/>
              </w:rPr>
              <w:t>处）</w:t>
            </w:r>
          </w:p>
        </w:tc>
        <w:tc>
          <w:tcPr>
            <w:tcW w:w="1276" w:type="dxa"/>
            <w:tcBorders>
              <w:top w:val="nil"/>
              <w:left w:val="nil"/>
              <w:bottom w:val="single" w:color="auto" w:sz="4" w:space="0"/>
              <w:right w:val="single" w:color="auto" w:sz="4" w:space="0"/>
            </w:tcBorders>
            <w:vAlign w:val="center"/>
          </w:tcPr>
          <w:p>
            <w:pPr>
              <w:widowControl/>
              <w:snapToGrid w:val="0"/>
              <w:spacing w:line="520" w:lineRule="exact"/>
              <w:jc w:val="center"/>
              <w:rPr>
                <w:rFonts w:hint="default" w:ascii="楷体_GB2312" w:hAnsi="楷体" w:eastAsia="楷体_GB2312" w:cs="宋体"/>
                <w:color w:val="000000"/>
                <w:kern w:val="0"/>
                <w:sz w:val="32"/>
                <w:szCs w:val="32"/>
              </w:rPr>
            </w:pPr>
            <w:r>
              <w:rPr>
                <w:rFonts w:hint="default" w:ascii="楷体_GB2312" w:hAnsi="楷体" w:eastAsia="楷体_GB2312" w:cs="宋体"/>
                <w:color w:val="000000"/>
                <w:kern w:val="0"/>
                <w:sz w:val="32"/>
                <w:szCs w:val="32"/>
              </w:rPr>
              <w:t>刘平</w:t>
            </w:r>
          </w:p>
        </w:tc>
        <w:tc>
          <w:tcPr>
            <w:tcW w:w="2258" w:type="dxa"/>
            <w:tcBorders>
              <w:top w:val="nil"/>
              <w:left w:val="nil"/>
              <w:bottom w:val="single" w:color="auto" w:sz="4" w:space="0"/>
              <w:right w:val="single" w:color="auto" w:sz="4" w:space="0"/>
            </w:tcBorders>
            <w:vAlign w:val="center"/>
          </w:tcPr>
          <w:p>
            <w:pPr>
              <w:widowControl/>
              <w:snapToGrid w:val="0"/>
              <w:spacing w:line="520" w:lineRule="exact"/>
              <w:jc w:val="center"/>
              <w:rPr>
                <w:rFonts w:hint="default" w:ascii="楷体_GB2312" w:hAnsi="楷体" w:eastAsia="楷体_GB2312" w:cs="宋体"/>
                <w:color w:val="000000"/>
                <w:kern w:val="0"/>
                <w:sz w:val="32"/>
                <w:szCs w:val="32"/>
              </w:rPr>
            </w:pPr>
            <w:r>
              <w:rPr>
                <w:rFonts w:hint="default" w:ascii="楷体_GB2312" w:hAnsi="楷体" w:eastAsia="楷体_GB2312" w:cs="宋体"/>
                <w:color w:val="000000"/>
                <w:kern w:val="0"/>
                <w:sz w:val="32"/>
                <w:szCs w:val="32"/>
              </w:rPr>
              <w:t>副处长</w:t>
            </w:r>
          </w:p>
        </w:tc>
        <w:tc>
          <w:tcPr>
            <w:tcW w:w="3924" w:type="dxa"/>
            <w:tcBorders>
              <w:top w:val="nil"/>
              <w:left w:val="nil"/>
              <w:bottom w:val="single" w:color="auto" w:sz="4" w:space="0"/>
              <w:right w:val="single" w:color="auto" w:sz="4" w:space="0"/>
            </w:tcBorders>
            <w:vAlign w:val="center"/>
          </w:tcPr>
          <w:p>
            <w:pPr>
              <w:widowControl/>
              <w:snapToGrid w:val="0"/>
              <w:spacing w:line="520" w:lineRule="exact"/>
              <w:jc w:val="center"/>
              <w:rPr>
                <w:rFonts w:hint="eastAsia" w:ascii="楷体_GB2312" w:hAnsi="楷体" w:eastAsia="楷体_GB2312" w:cs="宋体"/>
                <w:color w:val="000000"/>
                <w:kern w:val="0"/>
                <w:sz w:val="32"/>
                <w:szCs w:val="32"/>
              </w:rPr>
            </w:pPr>
            <w:r>
              <w:rPr>
                <w:rFonts w:hint="eastAsia" w:ascii="楷体_GB2312" w:hAnsi="楷体" w:eastAsia="楷体_GB2312" w:cs="宋体"/>
                <w:color w:val="000000"/>
                <w:kern w:val="0"/>
                <w:sz w:val="32"/>
                <w:szCs w:val="32"/>
              </w:rPr>
              <w:t>负责</w:t>
            </w:r>
            <w:r>
              <w:rPr>
                <w:rFonts w:hint="default" w:ascii="楷体_GB2312" w:hAnsi="楷体" w:eastAsia="楷体_GB2312" w:cs="宋体"/>
                <w:color w:val="000000"/>
                <w:kern w:val="0"/>
                <w:sz w:val="32"/>
                <w:szCs w:val="32"/>
              </w:rPr>
              <w:t>政策法规处（</w:t>
            </w:r>
            <w:r>
              <w:rPr>
                <w:rFonts w:hint="eastAsia" w:ascii="楷体_GB2312" w:hAnsi="楷体" w:eastAsia="楷体_GB2312" w:cs="宋体"/>
                <w:color w:val="000000"/>
                <w:kern w:val="0"/>
                <w:sz w:val="32"/>
                <w:szCs w:val="32"/>
              </w:rPr>
              <w:t>执法</w:t>
            </w:r>
          </w:p>
          <w:p>
            <w:pPr>
              <w:widowControl/>
              <w:snapToGrid w:val="0"/>
              <w:spacing w:line="520" w:lineRule="exact"/>
              <w:jc w:val="left"/>
              <w:rPr>
                <w:rFonts w:ascii="楷体_GB2312" w:hAnsi="楷体" w:eastAsia="楷体_GB2312" w:cs="宋体"/>
                <w:color w:val="000000"/>
                <w:kern w:val="0"/>
                <w:sz w:val="32"/>
                <w:szCs w:val="32"/>
              </w:rPr>
            </w:pPr>
            <w:r>
              <w:rPr>
                <w:rFonts w:hint="eastAsia" w:ascii="楷体_GB2312" w:hAnsi="楷体" w:eastAsia="楷体_GB2312" w:cs="宋体"/>
                <w:color w:val="000000"/>
                <w:kern w:val="0"/>
                <w:sz w:val="32"/>
                <w:szCs w:val="32"/>
              </w:rPr>
              <w:t>稽查</w:t>
            </w:r>
            <w:r>
              <w:rPr>
                <w:rFonts w:hint="default" w:ascii="楷体_GB2312" w:hAnsi="楷体" w:eastAsia="楷体_GB2312" w:cs="宋体"/>
                <w:color w:val="000000"/>
                <w:kern w:val="0"/>
                <w:sz w:val="32"/>
                <w:szCs w:val="32"/>
              </w:rPr>
              <w:t>处）</w:t>
            </w:r>
            <w:r>
              <w:rPr>
                <w:rFonts w:hint="eastAsia" w:ascii="楷体_GB2312" w:hAnsi="楷体" w:eastAsia="楷体_GB2312" w:cs="宋体"/>
                <w:color w:val="000000"/>
                <w:kern w:val="0"/>
                <w:sz w:val="32"/>
                <w:szCs w:val="32"/>
              </w:rPr>
              <w:t>全面工作</w:t>
            </w:r>
          </w:p>
        </w:tc>
      </w:tr>
      <w:tr>
        <w:tblPrEx>
          <w:tblCellMar>
            <w:top w:w="0" w:type="dxa"/>
            <w:left w:w="108" w:type="dxa"/>
            <w:bottom w:w="0" w:type="dxa"/>
            <w:right w:w="108" w:type="dxa"/>
          </w:tblCellMar>
        </w:tblPrEx>
        <w:trPr>
          <w:trHeight w:val="1019" w:hRule="atLeast"/>
        </w:trPr>
        <w:tc>
          <w:tcPr>
            <w:tcW w:w="1526" w:type="dxa"/>
            <w:vMerge w:val="continue"/>
            <w:tcBorders>
              <w:top w:val="nil"/>
              <w:left w:val="single" w:color="auto" w:sz="4" w:space="0"/>
              <w:bottom w:val="single" w:color="auto" w:sz="4" w:space="0"/>
              <w:right w:val="single" w:color="auto" w:sz="4" w:space="0"/>
            </w:tcBorders>
            <w:vAlign w:val="center"/>
          </w:tcPr>
          <w:p>
            <w:pPr>
              <w:widowControl/>
              <w:snapToGrid w:val="0"/>
              <w:spacing w:line="520" w:lineRule="exact"/>
              <w:jc w:val="left"/>
              <w:rPr>
                <w:rFonts w:ascii="楷体_GB2312" w:hAnsi="楷体" w:eastAsia="楷体_GB2312" w:cs="宋体"/>
                <w:color w:val="000000"/>
                <w:kern w:val="0"/>
                <w:sz w:val="32"/>
                <w:szCs w:val="32"/>
              </w:rPr>
            </w:pPr>
          </w:p>
        </w:tc>
        <w:tc>
          <w:tcPr>
            <w:tcW w:w="1276" w:type="dxa"/>
            <w:tcBorders>
              <w:top w:val="nil"/>
              <w:left w:val="nil"/>
              <w:bottom w:val="single" w:color="auto" w:sz="4" w:space="0"/>
              <w:right w:val="single" w:color="auto" w:sz="4" w:space="0"/>
            </w:tcBorders>
            <w:vAlign w:val="center"/>
          </w:tcPr>
          <w:p>
            <w:pPr>
              <w:widowControl/>
              <w:snapToGrid w:val="0"/>
              <w:spacing w:line="520" w:lineRule="exact"/>
              <w:jc w:val="center"/>
              <w:rPr>
                <w:rFonts w:hint="default" w:ascii="楷体_GB2312" w:hAnsi="楷体" w:eastAsia="楷体_GB2312" w:cs="宋体"/>
                <w:color w:val="000000"/>
                <w:kern w:val="0"/>
                <w:sz w:val="32"/>
                <w:szCs w:val="32"/>
              </w:rPr>
            </w:pPr>
            <w:r>
              <w:rPr>
                <w:rFonts w:hint="default" w:ascii="楷体_GB2312" w:hAnsi="楷体" w:eastAsia="楷体_GB2312" w:cs="宋体"/>
                <w:color w:val="000000"/>
                <w:kern w:val="0"/>
                <w:sz w:val="32"/>
                <w:szCs w:val="32"/>
              </w:rPr>
              <w:t>傅洁莹</w:t>
            </w:r>
          </w:p>
        </w:tc>
        <w:tc>
          <w:tcPr>
            <w:tcW w:w="2258" w:type="dxa"/>
            <w:tcBorders>
              <w:top w:val="nil"/>
              <w:left w:val="nil"/>
              <w:bottom w:val="single" w:color="auto" w:sz="4" w:space="0"/>
              <w:right w:val="single" w:color="auto" w:sz="4" w:space="0"/>
            </w:tcBorders>
            <w:vAlign w:val="center"/>
          </w:tcPr>
          <w:p>
            <w:pPr>
              <w:widowControl/>
              <w:snapToGrid w:val="0"/>
              <w:spacing w:line="520" w:lineRule="exact"/>
              <w:jc w:val="center"/>
              <w:rPr>
                <w:rFonts w:ascii="楷体_GB2312" w:hAnsi="楷体" w:eastAsia="楷体_GB2312" w:cs="宋体"/>
                <w:color w:val="000000"/>
                <w:kern w:val="0"/>
                <w:sz w:val="32"/>
                <w:szCs w:val="32"/>
              </w:rPr>
            </w:pPr>
            <w:r>
              <w:rPr>
                <w:rFonts w:hint="default" w:ascii="楷体_GB2312" w:hAnsi="楷体" w:eastAsia="楷体_GB2312" w:cs="宋体"/>
                <w:color w:val="000000"/>
                <w:kern w:val="0"/>
                <w:sz w:val="32"/>
                <w:szCs w:val="32"/>
              </w:rPr>
              <w:t>一级</w:t>
            </w:r>
            <w:r>
              <w:rPr>
                <w:rFonts w:hint="eastAsia" w:ascii="楷体_GB2312" w:hAnsi="楷体" w:eastAsia="楷体_GB2312" w:cs="宋体"/>
                <w:color w:val="000000"/>
                <w:kern w:val="0"/>
                <w:sz w:val="32"/>
                <w:szCs w:val="32"/>
              </w:rPr>
              <w:t>主任科员</w:t>
            </w:r>
          </w:p>
        </w:tc>
        <w:tc>
          <w:tcPr>
            <w:tcW w:w="3924" w:type="dxa"/>
            <w:tcBorders>
              <w:top w:val="nil"/>
              <w:left w:val="nil"/>
              <w:bottom w:val="single" w:color="auto" w:sz="4" w:space="0"/>
              <w:right w:val="single" w:color="auto" w:sz="4" w:space="0"/>
            </w:tcBorders>
            <w:vAlign w:val="center"/>
          </w:tcPr>
          <w:p>
            <w:pPr>
              <w:widowControl/>
              <w:snapToGrid w:val="0"/>
              <w:spacing w:line="520" w:lineRule="exact"/>
              <w:jc w:val="left"/>
              <w:rPr>
                <w:rFonts w:ascii="楷体_GB2312" w:hAnsi="楷体" w:eastAsia="楷体_GB2312" w:cs="宋体"/>
                <w:color w:val="000000"/>
                <w:kern w:val="0"/>
                <w:sz w:val="32"/>
                <w:szCs w:val="32"/>
              </w:rPr>
            </w:pPr>
            <w:r>
              <w:rPr>
                <w:rFonts w:hint="eastAsia" w:ascii="楷体_GB2312" w:hAnsi="楷体" w:eastAsia="楷体_GB2312" w:cs="宋体"/>
                <w:color w:val="000000"/>
                <w:kern w:val="0"/>
                <w:sz w:val="32"/>
                <w:szCs w:val="32"/>
              </w:rPr>
              <w:t>负责行政执法具体工作</w:t>
            </w:r>
          </w:p>
        </w:tc>
      </w:tr>
    </w:tbl>
    <w:p>
      <w:pPr>
        <w:snapToGrid w:val="0"/>
        <w:spacing w:line="520" w:lineRule="exact"/>
        <w:jc w:val="center"/>
        <w:rPr>
          <w:rFonts w:ascii="仿宋_GB2312" w:eastAsia="仿宋_GB2312"/>
          <w:sz w:val="32"/>
          <w:szCs w:val="32"/>
        </w:rPr>
      </w:pPr>
    </w:p>
    <w:p>
      <w:pPr>
        <w:snapToGrid w:val="0"/>
        <w:spacing w:line="520" w:lineRule="exact"/>
        <w:rPr>
          <w:rFonts w:ascii="仿宋_GB2312" w:eastAsia="仿宋_GB2312"/>
          <w:sz w:val="32"/>
          <w:szCs w:val="32"/>
        </w:rPr>
      </w:pPr>
    </w:p>
    <w:p>
      <w:pPr>
        <w:snapToGrid w:val="0"/>
        <w:spacing w:line="520" w:lineRule="exact"/>
        <w:rPr>
          <w:rFonts w:ascii="仿宋_GB2312" w:eastAsia="仿宋_GB2312"/>
          <w:sz w:val="32"/>
          <w:szCs w:val="32"/>
        </w:rPr>
      </w:pPr>
    </w:p>
    <w:p>
      <w:pPr>
        <w:snapToGrid w:val="0"/>
        <w:spacing w:line="520" w:lineRule="exact"/>
        <w:rPr>
          <w:rFonts w:ascii="仿宋_GB2312" w:eastAsia="仿宋_GB2312"/>
          <w:sz w:val="32"/>
          <w:szCs w:val="32"/>
        </w:rPr>
      </w:pPr>
    </w:p>
    <w:p>
      <w:pPr>
        <w:snapToGrid w:val="0"/>
        <w:spacing w:line="520" w:lineRule="exact"/>
        <w:rPr>
          <w:rFonts w:ascii="仿宋_GB2312" w:eastAsia="仿宋_GB2312"/>
          <w:sz w:val="32"/>
          <w:szCs w:val="32"/>
        </w:rPr>
      </w:pPr>
    </w:p>
    <w:p>
      <w:pPr>
        <w:snapToGrid w:val="0"/>
        <w:spacing w:line="520" w:lineRule="exact"/>
        <w:rPr>
          <w:rFonts w:ascii="仿宋_GB2312" w:eastAsia="仿宋_GB2312"/>
          <w:sz w:val="32"/>
          <w:szCs w:val="32"/>
        </w:rPr>
      </w:pPr>
    </w:p>
    <w:p>
      <w:pPr>
        <w:snapToGrid w:val="0"/>
        <w:spacing w:line="520" w:lineRule="exact"/>
        <w:rPr>
          <w:rFonts w:ascii="仿宋_GB2312" w:eastAsia="仿宋_GB2312"/>
          <w:sz w:val="32"/>
          <w:szCs w:val="32"/>
        </w:rPr>
      </w:pPr>
    </w:p>
    <w:p>
      <w:pPr>
        <w:snapToGrid w:val="0"/>
        <w:spacing w:line="520" w:lineRule="exact"/>
        <w:rPr>
          <w:rFonts w:ascii="仿宋_GB2312" w:eastAsia="仿宋_GB2312"/>
          <w:sz w:val="32"/>
          <w:szCs w:val="32"/>
        </w:rPr>
      </w:pPr>
    </w:p>
    <w:p>
      <w:pPr>
        <w:snapToGrid w:val="0"/>
        <w:spacing w:line="520" w:lineRule="exact"/>
        <w:rPr>
          <w:rFonts w:ascii="仿宋_GB2312" w:eastAsia="仿宋_GB2312"/>
          <w:sz w:val="32"/>
          <w:szCs w:val="32"/>
        </w:rPr>
      </w:pPr>
    </w:p>
    <w:p>
      <w:pPr>
        <w:snapToGrid w:val="0"/>
        <w:spacing w:line="520" w:lineRule="exact"/>
        <w:rPr>
          <w:rFonts w:ascii="仿宋_GB2312" w:eastAsia="仿宋_GB2312"/>
          <w:sz w:val="32"/>
          <w:szCs w:val="32"/>
        </w:rPr>
      </w:pPr>
    </w:p>
    <w:p>
      <w:pPr>
        <w:snapToGrid w:val="0"/>
        <w:spacing w:line="520" w:lineRule="exact"/>
        <w:rPr>
          <w:rFonts w:ascii="仿宋_GB2312" w:eastAsia="仿宋_GB2312"/>
          <w:sz w:val="32"/>
          <w:szCs w:val="32"/>
        </w:rPr>
      </w:pPr>
    </w:p>
    <w:p>
      <w:pPr>
        <w:snapToGrid w:val="0"/>
        <w:spacing w:line="520" w:lineRule="exact"/>
        <w:rPr>
          <w:rFonts w:ascii="仿宋_GB2312" w:eastAsia="仿宋_GB2312"/>
          <w:sz w:val="32"/>
          <w:szCs w:val="32"/>
        </w:rPr>
      </w:pPr>
    </w:p>
    <w:p>
      <w:pPr>
        <w:snapToGrid w:val="0"/>
        <w:spacing w:line="520" w:lineRule="exact"/>
        <w:rPr>
          <w:rFonts w:ascii="仿宋_GB2312" w:eastAsia="仿宋_GB2312"/>
          <w:sz w:val="32"/>
          <w:szCs w:val="32"/>
        </w:rPr>
      </w:pPr>
    </w:p>
    <w:p/>
    <w:p/>
    <w:sectPr>
      <w:footerReference r:id="rId5" w:type="first"/>
      <w:footerReference r:id="rId3" w:type="default"/>
      <w:footerReference r:id="rId4" w:type="even"/>
      <w:pgSz w:w="11906" w:h="16838"/>
      <w:pgMar w:top="2098" w:right="1588" w:bottom="1418" w:left="1588" w:header="851" w:footer="851"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黑体">
    <w:altName w:val="方正黑体_GBK"/>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_x000B__x000C_">
    <w:altName w:val="华文仿宋"/>
    <w:panose1 w:val="00000000000000000000"/>
    <w:charset w:val="00"/>
    <w:family w:val="modern"/>
    <w:pitch w:val="default"/>
    <w:sig w:usb0="00000000" w:usb1="00000000" w:usb2="00000000" w:usb3="00000000" w:csb0="00040001" w:csb1="00000000"/>
  </w:font>
  <w:font w:name="黑体">
    <w:altName w:val="方正黑体_GBK"/>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方正宋体S-超大字符集(SIP)">
    <w:panose1 w:val="03000509000000000000"/>
    <w:charset w:val="86"/>
    <w:family w:val="auto"/>
    <w:pitch w:val="default"/>
    <w:sig w:usb0="00000003" w:usb1="0A0E0800" w:usb2="0000000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18"/>
        <w:rFonts w:ascii="宋体" w:hAnsi="宋体"/>
        <w:sz w:val="28"/>
        <w:szCs w:val="28"/>
      </w:rPr>
    </w:pPr>
    <w:r>
      <w:rPr>
        <w:rStyle w:val="18"/>
        <w:rFonts w:ascii="宋体" w:hAnsi="宋体"/>
        <w:sz w:val="28"/>
        <w:szCs w:val="28"/>
      </w:rPr>
      <w:fldChar w:fldCharType="begin"/>
    </w:r>
    <w:r>
      <w:rPr>
        <w:rStyle w:val="18"/>
        <w:rFonts w:ascii="宋体" w:hAnsi="宋体"/>
        <w:sz w:val="28"/>
        <w:szCs w:val="28"/>
      </w:rPr>
      <w:instrText xml:space="preserve">PAGE  </w:instrText>
    </w:r>
    <w:r>
      <w:rPr>
        <w:rStyle w:val="18"/>
        <w:rFonts w:ascii="宋体" w:hAnsi="宋体"/>
        <w:sz w:val="28"/>
        <w:szCs w:val="28"/>
      </w:rPr>
      <w:fldChar w:fldCharType="separate"/>
    </w:r>
    <w:r>
      <w:rPr>
        <w:rStyle w:val="18"/>
        <w:rFonts w:ascii="宋体" w:hAnsi="宋体"/>
        <w:sz w:val="28"/>
        <w:szCs w:val="28"/>
      </w:rPr>
      <w:t>- 6 -</w:t>
    </w:r>
    <w:r>
      <w:rPr>
        <w:rStyle w:val="18"/>
        <w:rFonts w:ascii="宋体" w:hAnsi="宋体"/>
        <w:sz w:val="28"/>
        <w:szCs w:val="28"/>
      </w:rPr>
      <w:fldChar w:fldCharType="end"/>
    </w:r>
  </w:p>
  <w:p>
    <w:pPr>
      <w:pStyle w:val="11"/>
      <w:ind w:right="360" w:firstLine="7980" w:firstLineChars="285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18"/>
      </w:rPr>
    </w:pPr>
    <w:r>
      <w:rPr>
        <w:rStyle w:val="18"/>
      </w:rPr>
      <w:fldChar w:fldCharType="begin"/>
    </w:r>
    <w:r>
      <w:rPr>
        <w:rStyle w:val="18"/>
      </w:rPr>
      <w:instrText xml:space="preserve">PAGE  </w:instrText>
    </w:r>
    <w:r>
      <w:rPr>
        <w:rStyle w:val="18"/>
      </w:rPr>
      <w:fldChar w:fldCharType="end"/>
    </w:r>
  </w:p>
  <w:p>
    <w:pPr>
      <w:pStyle w:val="1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 w:val="32"/>
        <w:szCs w:val="32"/>
      </w:rPr>
    </w:pPr>
    <w:r>
      <w:rPr>
        <w:sz w:val="32"/>
        <w:szCs w:val="32"/>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32385</wp:posOffset>
              </wp:positionV>
              <wp:extent cx="6145530" cy="0"/>
              <wp:effectExtent l="28575" t="32385" r="36195" b="3429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145530" cy="0"/>
                      </a:xfrm>
                      <a:prstGeom prst="line">
                        <a:avLst/>
                      </a:prstGeom>
                      <a:noFill/>
                      <a:ln w="57150" cmpd="thinThick">
                        <a:solidFill>
                          <a:srgbClr val="FF0000"/>
                        </a:solidFill>
                        <a:round/>
                      </a:ln>
                    </wps:spPr>
                    <wps:bodyPr/>
                  </wps:wsp>
                </a:graphicData>
              </a:graphic>
            </wp:anchor>
          </w:drawing>
        </mc:Choice>
        <mc:Fallback>
          <w:pict>
            <v:line id="_x0000_s1026" o:spid="_x0000_s1026" o:spt="20" style="position:absolute;left:0pt;margin-top:2.55pt;height:0pt;width:483.9pt;mso-position-horizontal:center;z-index:251659264;mso-width-relative:page;mso-height-relative:page;" filled="f" stroked="t" coordsize="21600,21600" o:gfxdata="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KCI2BbSAAAABAEAAA8AAAAAAAAAAQAgAAAAOAAAAGRycy9k&#10;b3ducmV2LnhtbFBLAQIUABQAAAAIAIdO4kCs5UUJ8gEAALwDAAAOAAAAAAAAAAEAIAAAADcBAABk&#10;cnMvZTJvRG9jLnhtbFBLBQYAAAAABgAGAFkBAACbBQAAAAA=&#10;">
              <v:fill on="f" focussize="0,0"/>
              <v:stroke weight="4.5pt" color="#FF0000" linestyle="thinThick" joinstyle="round"/>
              <v:imagedata o:title=""/>
              <o:lock v:ext="edit" aspectratio="f"/>
            </v:lin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149C2F"/>
    <w:multiLevelType w:val="singleLevel"/>
    <w:tmpl w:val="57149C2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1A2"/>
    <w:rsid w:val="001F544C"/>
    <w:rsid w:val="002B513D"/>
    <w:rsid w:val="005B45A9"/>
    <w:rsid w:val="006E2DE1"/>
    <w:rsid w:val="00834744"/>
    <w:rsid w:val="00964EC4"/>
    <w:rsid w:val="00D901A2"/>
    <w:rsid w:val="00F03F8B"/>
    <w:rsid w:val="0D568282"/>
    <w:rsid w:val="5EBF5B7B"/>
    <w:rsid w:val="7BFD364A"/>
    <w:rsid w:val="BFEF6012"/>
    <w:rsid w:val="FFDFC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9"/>
    <w:pPr>
      <w:keepNext/>
      <w:spacing w:before="240" w:after="60"/>
      <w:outlineLvl w:val="0"/>
    </w:pPr>
    <w:rPr>
      <w:rFonts w:asciiTheme="majorHAnsi" w:hAnsiTheme="majorHAnsi" w:eastAsiaTheme="majorEastAsia" w:cstheme="majorBidi"/>
      <w:b/>
      <w:bCs/>
      <w:kern w:val="32"/>
      <w:sz w:val="32"/>
      <w:szCs w:val="32"/>
    </w:rPr>
  </w:style>
  <w:style w:type="paragraph" w:styleId="3">
    <w:name w:val="heading 2"/>
    <w:basedOn w:val="1"/>
    <w:next w:val="1"/>
    <w:link w:val="22"/>
    <w:semiHidden/>
    <w:unhideWhenUsed/>
    <w:qFormat/>
    <w:uiPriority w:val="9"/>
    <w:pPr>
      <w:keepNext/>
      <w:spacing w:before="240" w:after="60"/>
      <w:outlineLvl w:val="1"/>
    </w:pPr>
    <w:rPr>
      <w:rFonts w:asciiTheme="majorHAnsi" w:hAnsiTheme="majorHAnsi" w:eastAsiaTheme="majorEastAsia" w:cstheme="majorBidi"/>
      <w:b/>
      <w:bCs/>
      <w:i/>
      <w:iCs/>
      <w:sz w:val="28"/>
      <w:szCs w:val="28"/>
    </w:rPr>
  </w:style>
  <w:style w:type="paragraph" w:styleId="4">
    <w:name w:val="heading 3"/>
    <w:basedOn w:val="1"/>
    <w:next w:val="1"/>
    <w:link w:val="23"/>
    <w:semiHidden/>
    <w:unhideWhenUsed/>
    <w:qFormat/>
    <w:uiPriority w:val="9"/>
    <w:pPr>
      <w:keepNext/>
      <w:spacing w:before="240" w:after="60"/>
      <w:outlineLvl w:val="2"/>
    </w:pPr>
    <w:rPr>
      <w:rFonts w:asciiTheme="majorHAnsi" w:hAnsiTheme="majorHAnsi" w:eastAsiaTheme="majorEastAsia" w:cstheme="majorBidi"/>
      <w:b/>
      <w:bCs/>
      <w:sz w:val="26"/>
      <w:szCs w:val="26"/>
    </w:rPr>
  </w:style>
  <w:style w:type="paragraph" w:styleId="5">
    <w:name w:val="heading 4"/>
    <w:basedOn w:val="1"/>
    <w:next w:val="1"/>
    <w:link w:val="24"/>
    <w:semiHidden/>
    <w:unhideWhenUsed/>
    <w:qFormat/>
    <w:uiPriority w:val="9"/>
    <w:pPr>
      <w:keepNext/>
      <w:spacing w:before="240" w:after="60"/>
      <w:outlineLvl w:val="3"/>
    </w:pPr>
    <w:rPr>
      <w:rFonts w:cstheme="majorBidi"/>
      <w:b/>
      <w:bCs/>
      <w:sz w:val="28"/>
      <w:szCs w:val="28"/>
    </w:rPr>
  </w:style>
  <w:style w:type="paragraph" w:styleId="6">
    <w:name w:val="heading 5"/>
    <w:basedOn w:val="1"/>
    <w:next w:val="1"/>
    <w:link w:val="25"/>
    <w:semiHidden/>
    <w:unhideWhenUsed/>
    <w:qFormat/>
    <w:uiPriority w:val="9"/>
    <w:pPr>
      <w:spacing w:before="240" w:after="60"/>
      <w:outlineLvl w:val="4"/>
    </w:pPr>
    <w:rPr>
      <w:rFonts w:cstheme="majorBidi"/>
      <w:b/>
      <w:bCs/>
      <w:i/>
      <w:iCs/>
      <w:sz w:val="26"/>
      <w:szCs w:val="26"/>
    </w:rPr>
  </w:style>
  <w:style w:type="paragraph" w:styleId="7">
    <w:name w:val="heading 6"/>
    <w:basedOn w:val="1"/>
    <w:next w:val="1"/>
    <w:link w:val="26"/>
    <w:semiHidden/>
    <w:unhideWhenUsed/>
    <w:qFormat/>
    <w:uiPriority w:val="9"/>
    <w:pPr>
      <w:spacing w:before="240" w:after="60"/>
      <w:outlineLvl w:val="5"/>
    </w:pPr>
    <w:rPr>
      <w:rFonts w:cstheme="majorBidi"/>
      <w:b/>
      <w:bCs/>
      <w:sz w:val="22"/>
      <w:szCs w:val="22"/>
    </w:rPr>
  </w:style>
  <w:style w:type="paragraph" w:styleId="8">
    <w:name w:val="heading 7"/>
    <w:basedOn w:val="1"/>
    <w:next w:val="1"/>
    <w:link w:val="27"/>
    <w:semiHidden/>
    <w:unhideWhenUsed/>
    <w:qFormat/>
    <w:uiPriority w:val="9"/>
    <w:pPr>
      <w:spacing w:before="240" w:after="60"/>
      <w:outlineLvl w:val="6"/>
    </w:pPr>
    <w:rPr>
      <w:rFonts w:cstheme="majorBidi"/>
    </w:rPr>
  </w:style>
  <w:style w:type="paragraph" w:styleId="9">
    <w:name w:val="heading 8"/>
    <w:basedOn w:val="1"/>
    <w:next w:val="1"/>
    <w:link w:val="28"/>
    <w:semiHidden/>
    <w:unhideWhenUsed/>
    <w:qFormat/>
    <w:uiPriority w:val="9"/>
    <w:pPr>
      <w:spacing w:before="240" w:after="60"/>
      <w:outlineLvl w:val="7"/>
    </w:pPr>
    <w:rPr>
      <w:rFonts w:cstheme="majorBidi"/>
      <w:i/>
      <w:iCs/>
    </w:rPr>
  </w:style>
  <w:style w:type="paragraph" w:styleId="10">
    <w:name w:val="heading 9"/>
    <w:basedOn w:val="1"/>
    <w:next w:val="1"/>
    <w:link w:val="29"/>
    <w:semiHidden/>
    <w:unhideWhenUsed/>
    <w:qFormat/>
    <w:uiPriority w:val="9"/>
    <w:pPr>
      <w:spacing w:before="240" w:after="60"/>
      <w:outlineLvl w:val="8"/>
    </w:pPr>
    <w:rPr>
      <w:rFonts w:asciiTheme="majorHAnsi" w:hAnsiTheme="majorHAnsi" w:eastAsiaTheme="majorEastAsia" w:cstheme="majorBidi"/>
      <w:sz w:val="22"/>
      <w:szCs w:val="2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11">
    <w:name w:val="footer"/>
    <w:basedOn w:val="1"/>
    <w:link w:val="45"/>
    <w:semiHidden/>
    <w:unhideWhenUsed/>
    <w:qFormat/>
    <w:uiPriority w:val="99"/>
    <w:pPr>
      <w:tabs>
        <w:tab w:val="center" w:pos="4153"/>
        <w:tab w:val="right" w:pos="8306"/>
      </w:tabs>
      <w:snapToGrid w:val="0"/>
      <w:jc w:val="left"/>
    </w:pPr>
    <w:rPr>
      <w:sz w:val="18"/>
      <w:szCs w:val="18"/>
    </w:rPr>
  </w:style>
  <w:style w:type="paragraph" w:styleId="12">
    <w:name w:val="Subtitle"/>
    <w:basedOn w:val="1"/>
    <w:next w:val="1"/>
    <w:link w:val="31"/>
    <w:qFormat/>
    <w:uiPriority w:val="11"/>
    <w:pPr>
      <w:spacing w:after="60"/>
      <w:jc w:val="center"/>
      <w:outlineLvl w:val="1"/>
    </w:pPr>
    <w:rPr>
      <w:rFonts w:asciiTheme="majorHAnsi" w:hAnsiTheme="majorHAnsi" w:eastAsiaTheme="majorEastAsia"/>
    </w:rPr>
  </w:style>
  <w:style w:type="paragraph" w:styleId="13">
    <w:name w:val="Normal (Web)"/>
    <w:basedOn w:val="1"/>
    <w:semiHidden/>
    <w:unhideWhenUsed/>
    <w:qFormat/>
    <w:uiPriority w:val="99"/>
    <w:pPr>
      <w:spacing w:before="100" w:beforeAutospacing="1" w:after="100" w:afterAutospacing="1"/>
    </w:pPr>
    <w:rPr>
      <w:rFonts w:ascii="宋体" w:hAnsi="宋体" w:cs="宋体"/>
    </w:rPr>
  </w:style>
  <w:style w:type="paragraph" w:styleId="14">
    <w:name w:val="Title"/>
    <w:basedOn w:val="1"/>
    <w:next w:val="1"/>
    <w:link w:val="30"/>
    <w:qFormat/>
    <w:uiPriority w:val="10"/>
    <w:pPr>
      <w:spacing w:before="240" w:after="60"/>
      <w:jc w:val="center"/>
      <w:outlineLvl w:val="0"/>
    </w:pPr>
    <w:rPr>
      <w:rFonts w:asciiTheme="majorHAnsi" w:hAnsiTheme="majorHAnsi" w:eastAsiaTheme="majorEastAsia" w:cstheme="majorBidi"/>
      <w:b/>
      <w:bCs/>
      <w:kern w:val="28"/>
      <w:sz w:val="32"/>
      <w:szCs w:val="32"/>
    </w:rPr>
  </w:style>
  <w:style w:type="character" w:styleId="17">
    <w:name w:val="Strong"/>
    <w:basedOn w:val="16"/>
    <w:qFormat/>
    <w:uiPriority w:val="22"/>
    <w:rPr>
      <w:b/>
      <w:bCs/>
    </w:rPr>
  </w:style>
  <w:style w:type="character" w:styleId="18">
    <w:name w:val="page number"/>
    <w:basedOn w:val="16"/>
    <w:qFormat/>
    <w:uiPriority w:val="0"/>
  </w:style>
  <w:style w:type="character" w:styleId="19">
    <w:name w:val="Emphasis"/>
    <w:basedOn w:val="16"/>
    <w:qFormat/>
    <w:uiPriority w:val="20"/>
    <w:rPr>
      <w:rFonts w:asciiTheme="minorHAnsi" w:hAnsiTheme="minorHAnsi"/>
      <w:b/>
      <w:i/>
      <w:iCs/>
    </w:rPr>
  </w:style>
  <w:style w:type="character" w:styleId="20">
    <w:name w:val="Hyperlink"/>
    <w:basedOn w:val="16"/>
    <w:semiHidden/>
    <w:unhideWhenUsed/>
    <w:qFormat/>
    <w:uiPriority w:val="99"/>
    <w:rPr>
      <w:color w:val="0000FF"/>
      <w:u w:val="single"/>
    </w:rPr>
  </w:style>
  <w:style w:type="character" w:customStyle="1" w:styleId="21">
    <w:name w:val="标题 1 Char"/>
    <w:basedOn w:val="16"/>
    <w:link w:val="2"/>
    <w:qFormat/>
    <w:uiPriority w:val="9"/>
    <w:rPr>
      <w:rFonts w:asciiTheme="majorHAnsi" w:hAnsiTheme="majorHAnsi" w:eastAsiaTheme="majorEastAsia" w:cstheme="majorBidi"/>
      <w:b/>
      <w:bCs/>
      <w:kern w:val="32"/>
      <w:sz w:val="32"/>
      <w:szCs w:val="32"/>
    </w:rPr>
  </w:style>
  <w:style w:type="character" w:customStyle="1" w:styleId="22">
    <w:name w:val="标题 2 Char"/>
    <w:basedOn w:val="16"/>
    <w:link w:val="3"/>
    <w:semiHidden/>
    <w:qFormat/>
    <w:uiPriority w:val="9"/>
    <w:rPr>
      <w:rFonts w:asciiTheme="majorHAnsi" w:hAnsiTheme="majorHAnsi" w:eastAsiaTheme="majorEastAsia" w:cstheme="majorBidi"/>
      <w:b/>
      <w:bCs/>
      <w:i/>
      <w:iCs/>
      <w:sz w:val="28"/>
      <w:szCs w:val="28"/>
    </w:rPr>
  </w:style>
  <w:style w:type="character" w:customStyle="1" w:styleId="23">
    <w:name w:val="标题 3 Char"/>
    <w:basedOn w:val="16"/>
    <w:link w:val="4"/>
    <w:semiHidden/>
    <w:qFormat/>
    <w:uiPriority w:val="9"/>
    <w:rPr>
      <w:rFonts w:asciiTheme="majorHAnsi" w:hAnsiTheme="majorHAnsi" w:eastAsiaTheme="majorEastAsia" w:cstheme="majorBidi"/>
      <w:b/>
      <w:bCs/>
      <w:sz w:val="26"/>
      <w:szCs w:val="26"/>
    </w:rPr>
  </w:style>
  <w:style w:type="character" w:customStyle="1" w:styleId="24">
    <w:name w:val="标题 4 Char"/>
    <w:basedOn w:val="16"/>
    <w:link w:val="5"/>
    <w:semiHidden/>
    <w:qFormat/>
    <w:uiPriority w:val="9"/>
    <w:rPr>
      <w:rFonts w:cstheme="majorBidi"/>
      <w:b/>
      <w:bCs/>
      <w:sz w:val="28"/>
      <w:szCs w:val="28"/>
    </w:rPr>
  </w:style>
  <w:style w:type="character" w:customStyle="1" w:styleId="25">
    <w:name w:val="标题 5 Char"/>
    <w:basedOn w:val="16"/>
    <w:link w:val="6"/>
    <w:semiHidden/>
    <w:qFormat/>
    <w:uiPriority w:val="9"/>
    <w:rPr>
      <w:rFonts w:cstheme="majorBidi"/>
      <w:b/>
      <w:bCs/>
      <w:i/>
      <w:iCs/>
      <w:sz w:val="26"/>
      <w:szCs w:val="26"/>
    </w:rPr>
  </w:style>
  <w:style w:type="character" w:customStyle="1" w:styleId="26">
    <w:name w:val="标题 6 Char"/>
    <w:basedOn w:val="16"/>
    <w:link w:val="7"/>
    <w:semiHidden/>
    <w:qFormat/>
    <w:uiPriority w:val="9"/>
    <w:rPr>
      <w:rFonts w:cstheme="majorBidi"/>
      <w:b/>
      <w:bCs/>
    </w:rPr>
  </w:style>
  <w:style w:type="character" w:customStyle="1" w:styleId="27">
    <w:name w:val="标题 7 Char"/>
    <w:basedOn w:val="16"/>
    <w:link w:val="8"/>
    <w:semiHidden/>
    <w:qFormat/>
    <w:uiPriority w:val="9"/>
    <w:rPr>
      <w:rFonts w:cstheme="majorBidi"/>
      <w:sz w:val="24"/>
      <w:szCs w:val="24"/>
    </w:rPr>
  </w:style>
  <w:style w:type="character" w:customStyle="1" w:styleId="28">
    <w:name w:val="标题 8 Char"/>
    <w:basedOn w:val="16"/>
    <w:link w:val="9"/>
    <w:semiHidden/>
    <w:qFormat/>
    <w:uiPriority w:val="9"/>
    <w:rPr>
      <w:rFonts w:cstheme="majorBidi"/>
      <w:i/>
      <w:iCs/>
      <w:sz w:val="24"/>
      <w:szCs w:val="24"/>
    </w:rPr>
  </w:style>
  <w:style w:type="character" w:customStyle="1" w:styleId="29">
    <w:name w:val="标题 9 Char"/>
    <w:basedOn w:val="16"/>
    <w:link w:val="10"/>
    <w:semiHidden/>
    <w:qFormat/>
    <w:uiPriority w:val="9"/>
    <w:rPr>
      <w:rFonts w:asciiTheme="majorHAnsi" w:hAnsiTheme="majorHAnsi" w:eastAsiaTheme="majorEastAsia" w:cstheme="majorBidi"/>
    </w:rPr>
  </w:style>
  <w:style w:type="character" w:customStyle="1" w:styleId="30">
    <w:name w:val="标题 Char"/>
    <w:basedOn w:val="16"/>
    <w:link w:val="14"/>
    <w:qFormat/>
    <w:uiPriority w:val="10"/>
    <w:rPr>
      <w:rFonts w:asciiTheme="majorHAnsi" w:hAnsiTheme="majorHAnsi" w:eastAsiaTheme="majorEastAsia" w:cstheme="majorBidi"/>
      <w:b/>
      <w:bCs/>
      <w:kern w:val="28"/>
      <w:sz w:val="32"/>
      <w:szCs w:val="32"/>
    </w:rPr>
  </w:style>
  <w:style w:type="character" w:customStyle="1" w:styleId="31">
    <w:name w:val="副标题 Char"/>
    <w:basedOn w:val="16"/>
    <w:link w:val="12"/>
    <w:qFormat/>
    <w:uiPriority w:val="11"/>
    <w:rPr>
      <w:rFonts w:asciiTheme="majorHAnsi" w:hAnsiTheme="majorHAnsi" w:eastAsiaTheme="majorEastAsia"/>
      <w:sz w:val="24"/>
      <w:szCs w:val="24"/>
    </w:rPr>
  </w:style>
  <w:style w:type="paragraph" w:styleId="32">
    <w:name w:val="No Spacing"/>
    <w:basedOn w:val="1"/>
    <w:link w:val="33"/>
    <w:qFormat/>
    <w:uiPriority w:val="1"/>
    <w:rPr>
      <w:szCs w:val="32"/>
    </w:rPr>
  </w:style>
  <w:style w:type="character" w:customStyle="1" w:styleId="33">
    <w:name w:val="无间隔 Char"/>
    <w:basedOn w:val="16"/>
    <w:link w:val="32"/>
    <w:qFormat/>
    <w:uiPriority w:val="1"/>
    <w:rPr>
      <w:sz w:val="24"/>
      <w:szCs w:val="32"/>
    </w:rPr>
  </w:style>
  <w:style w:type="paragraph" w:styleId="34">
    <w:name w:val="List Paragraph"/>
    <w:basedOn w:val="1"/>
    <w:qFormat/>
    <w:uiPriority w:val="34"/>
    <w:pPr>
      <w:ind w:left="720"/>
      <w:contextualSpacing/>
    </w:pPr>
  </w:style>
  <w:style w:type="paragraph" w:styleId="35">
    <w:name w:val="Quote"/>
    <w:basedOn w:val="1"/>
    <w:next w:val="1"/>
    <w:link w:val="36"/>
    <w:qFormat/>
    <w:uiPriority w:val="29"/>
    <w:rPr>
      <w:rFonts w:cstheme="majorBidi"/>
      <w:i/>
    </w:rPr>
  </w:style>
  <w:style w:type="character" w:customStyle="1" w:styleId="36">
    <w:name w:val="引用 Char"/>
    <w:basedOn w:val="16"/>
    <w:link w:val="35"/>
    <w:qFormat/>
    <w:uiPriority w:val="29"/>
    <w:rPr>
      <w:rFonts w:cstheme="majorBidi"/>
      <w:i/>
      <w:sz w:val="24"/>
      <w:szCs w:val="24"/>
    </w:rPr>
  </w:style>
  <w:style w:type="paragraph" w:styleId="37">
    <w:name w:val="Intense Quote"/>
    <w:basedOn w:val="1"/>
    <w:next w:val="1"/>
    <w:link w:val="38"/>
    <w:qFormat/>
    <w:uiPriority w:val="30"/>
    <w:pPr>
      <w:ind w:left="720" w:right="720"/>
    </w:pPr>
    <w:rPr>
      <w:rFonts w:cstheme="majorBidi"/>
      <w:b/>
      <w:i/>
      <w:szCs w:val="22"/>
    </w:rPr>
  </w:style>
  <w:style w:type="character" w:customStyle="1" w:styleId="38">
    <w:name w:val="明显引用 Char"/>
    <w:basedOn w:val="16"/>
    <w:link w:val="37"/>
    <w:qFormat/>
    <w:uiPriority w:val="30"/>
    <w:rPr>
      <w:rFonts w:cstheme="majorBidi"/>
      <w:b/>
      <w:i/>
      <w:sz w:val="24"/>
    </w:rPr>
  </w:style>
  <w:style w:type="character" w:customStyle="1" w:styleId="39">
    <w:name w:val="Subtle Emphasis"/>
    <w:qFormat/>
    <w:uiPriority w:val="19"/>
    <w:rPr>
      <w:i/>
      <w:color w:val="595959" w:themeColor="text1" w:themeTint="A6"/>
      <w14:textFill>
        <w14:solidFill>
          <w14:schemeClr w14:val="tx1">
            <w14:lumMod w14:val="65000"/>
            <w14:lumOff w14:val="35000"/>
          </w14:schemeClr>
        </w14:solidFill>
      </w14:textFill>
    </w:rPr>
  </w:style>
  <w:style w:type="character" w:customStyle="1" w:styleId="40">
    <w:name w:val="Intense Emphasis"/>
    <w:basedOn w:val="16"/>
    <w:qFormat/>
    <w:uiPriority w:val="21"/>
    <w:rPr>
      <w:b/>
      <w:i/>
      <w:sz w:val="24"/>
      <w:szCs w:val="24"/>
      <w:u w:val="single"/>
    </w:rPr>
  </w:style>
  <w:style w:type="character" w:customStyle="1" w:styleId="41">
    <w:name w:val="Subtle Reference"/>
    <w:basedOn w:val="16"/>
    <w:qFormat/>
    <w:uiPriority w:val="31"/>
    <w:rPr>
      <w:sz w:val="24"/>
      <w:szCs w:val="24"/>
      <w:u w:val="single"/>
    </w:rPr>
  </w:style>
  <w:style w:type="character" w:customStyle="1" w:styleId="42">
    <w:name w:val="Intense Reference"/>
    <w:basedOn w:val="16"/>
    <w:qFormat/>
    <w:uiPriority w:val="32"/>
    <w:rPr>
      <w:b/>
      <w:sz w:val="24"/>
      <w:u w:val="single"/>
    </w:rPr>
  </w:style>
  <w:style w:type="character" w:customStyle="1" w:styleId="43">
    <w:name w:val="Book Title"/>
    <w:basedOn w:val="16"/>
    <w:qFormat/>
    <w:uiPriority w:val="33"/>
    <w:rPr>
      <w:rFonts w:asciiTheme="majorHAnsi" w:hAnsiTheme="majorHAnsi" w:eastAsiaTheme="majorEastAsia"/>
      <w:b/>
      <w:i/>
      <w:sz w:val="24"/>
      <w:szCs w:val="24"/>
    </w:rPr>
  </w:style>
  <w:style w:type="paragraph" w:customStyle="1" w:styleId="44">
    <w:name w:val="TOC Heading"/>
    <w:basedOn w:val="2"/>
    <w:next w:val="1"/>
    <w:semiHidden/>
    <w:unhideWhenUsed/>
    <w:qFormat/>
    <w:uiPriority w:val="39"/>
    <w:pPr>
      <w:outlineLvl w:val="9"/>
    </w:pPr>
  </w:style>
  <w:style w:type="character" w:customStyle="1" w:styleId="45">
    <w:name w:val="页脚 Char"/>
    <w:basedOn w:val="16"/>
    <w:link w:val="11"/>
    <w:semiHidden/>
    <w:qFormat/>
    <w:uiPriority w:val="99"/>
    <w:rPr>
      <w:rFonts w:ascii="Times New Roman" w:hAnsi="Times New Roman" w:eastAsia="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390</Words>
  <Characters>2227</Characters>
  <Lines>18</Lines>
  <Paragraphs>5</Paragraphs>
  <TotalTime>5</TotalTime>
  <ScaleCrop>false</ScaleCrop>
  <LinksUpToDate>false</LinksUpToDate>
  <CharactersWithSpaces>2612</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2018-11-07T03:56:00Z</dcterms:created>
  <dc:creator>李其芳</dc:creator>
  <cp:lastModifiedBy>zhy</cp:lastModifiedBy>
  <dcterms:modified xsi:type="dcterms:W3CDTF">2023-10-07T15:31:49Z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