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109123">
      <w:pPr>
        <w:jc w:val="center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202</w:t>
      </w:r>
      <w:r>
        <w:rPr>
          <w:rFonts w:hint="default"/>
          <w:b/>
          <w:bCs/>
          <w:sz w:val="44"/>
          <w:szCs w:val="44"/>
          <w:lang w:val="en-US" w:eastAsia="zh-CN"/>
        </w:rPr>
        <w:t>6</w:t>
      </w:r>
      <w:r>
        <w:rPr>
          <w:rFonts w:hint="eastAsia"/>
          <w:b/>
          <w:bCs/>
          <w:sz w:val="44"/>
          <w:szCs w:val="44"/>
          <w:lang w:val="en-US" w:eastAsia="zh-CN"/>
        </w:rPr>
        <w:t>年深圳市部门统计调查项目目录</w:t>
      </w:r>
    </w:p>
    <w:tbl>
      <w:tblPr>
        <w:tblStyle w:val="12"/>
        <w:tblpPr w:leftFromText="180" w:rightFromText="180" w:vertAnchor="page" w:horzAnchor="margin" w:tblpX="-824" w:tblpY="3241"/>
        <w:tblW w:w="15900" w:type="dxa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1687"/>
        <w:gridCol w:w="6180"/>
        <w:gridCol w:w="1320"/>
        <w:gridCol w:w="1433"/>
        <w:gridCol w:w="1530"/>
        <w:gridCol w:w="1395"/>
        <w:gridCol w:w="1500"/>
      </w:tblGrid>
      <w:tr w14:paraId="1D7D97D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</w:trPr>
        <w:tc>
          <w:tcPr>
            <w:tcW w:w="855" w:type="dxa"/>
            <w:tcBorders>
              <w:tl2br w:val="nil"/>
              <w:tr2bl w:val="nil"/>
            </w:tcBorders>
            <w:vAlign w:val="center"/>
          </w:tcPr>
          <w:p w14:paraId="4D3B2C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687" w:type="dxa"/>
            <w:tcBorders>
              <w:tl2br w:val="nil"/>
              <w:tr2bl w:val="nil"/>
            </w:tcBorders>
            <w:vAlign w:val="center"/>
          </w:tcPr>
          <w:p w14:paraId="34A186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lang w:eastAsia="zh-CN"/>
              </w:rPr>
              <w:t>统计调查项目</w:t>
            </w:r>
          </w:p>
        </w:tc>
        <w:tc>
          <w:tcPr>
            <w:tcW w:w="6180" w:type="dxa"/>
            <w:tcBorders>
              <w:tl2br w:val="nil"/>
              <w:tr2bl w:val="nil"/>
            </w:tcBorders>
            <w:vAlign w:val="center"/>
          </w:tcPr>
          <w:p w14:paraId="66713D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lang w:eastAsia="zh-CN"/>
              </w:rPr>
              <w:t>报表名称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vAlign w:val="center"/>
          </w:tcPr>
          <w:p w14:paraId="00AA69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申报</w:t>
            </w:r>
          </w:p>
          <w:p w14:paraId="5CA98F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部门</w:t>
            </w:r>
          </w:p>
        </w:tc>
        <w:tc>
          <w:tcPr>
            <w:tcW w:w="1433" w:type="dxa"/>
            <w:tcBorders>
              <w:tl2br w:val="nil"/>
              <w:tr2bl w:val="nil"/>
            </w:tcBorders>
            <w:vAlign w:val="center"/>
          </w:tcPr>
          <w:p w14:paraId="59F297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批准表号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vAlign w:val="center"/>
          </w:tcPr>
          <w:p w14:paraId="5B4904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批准文号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vAlign w:val="center"/>
          </w:tcPr>
          <w:p w14:paraId="20C237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4"/>
                <w:szCs w:val="24"/>
                <w:lang w:val="en-US" w:eastAsia="zh-CN"/>
              </w:rPr>
              <w:t>批准时间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vAlign w:val="center"/>
          </w:tcPr>
          <w:p w14:paraId="6EE3BE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4"/>
                <w:szCs w:val="24"/>
                <w:lang w:val="en-US" w:eastAsia="zh-CN"/>
              </w:rPr>
              <w:t>有效期至</w:t>
            </w:r>
          </w:p>
        </w:tc>
      </w:tr>
      <w:tr w14:paraId="496363B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2" w:hRule="atLeast"/>
        </w:trPr>
        <w:tc>
          <w:tcPr>
            <w:tcW w:w="855" w:type="dxa"/>
            <w:tcBorders>
              <w:tl2br w:val="nil"/>
              <w:tr2bl w:val="nil"/>
            </w:tcBorders>
            <w:vAlign w:val="center"/>
          </w:tcPr>
          <w:p w14:paraId="47405DC4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87" w:type="dxa"/>
            <w:tcBorders>
              <w:tl2br w:val="nil"/>
              <w:tr2bl w:val="nil"/>
            </w:tcBorders>
            <w:vAlign w:val="center"/>
          </w:tcPr>
          <w:p w14:paraId="335D9897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深圳市生态产品总值（GEP）核算统计报表制度</w:t>
            </w:r>
          </w:p>
        </w:tc>
        <w:tc>
          <w:tcPr>
            <w:tcW w:w="6180" w:type="dxa"/>
            <w:tcBorders>
              <w:tl2br w:val="nil"/>
              <w:tr2bl w:val="nil"/>
            </w:tcBorders>
            <w:vAlign w:val="center"/>
          </w:tcPr>
          <w:p w14:paraId="533042C6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lang w:eastAsia="zh-CN"/>
              </w:rPr>
              <w:t>（一）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生态系统监测类数据表式（A类）</w:t>
            </w:r>
          </w:p>
          <w:p w14:paraId="5D0F9D55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各类生态系统地表径流系数</w:t>
            </w:r>
          </w:p>
          <w:p w14:paraId="2AF9B033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城市生态系统建成区透水面地表径流系数</w:t>
            </w:r>
          </w:p>
          <w:p w14:paraId="5F5C669C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湿地生态系统水面蒸发折算系数</w:t>
            </w:r>
          </w:p>
          <w:p w14:paraId="4C45725A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各类生态系统植被单位面积蒸腾消耗热量</w:t>
            </w:r>
          </w:p>
          <w:p w14:paraId="6D1BD55E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各类生态系统固碳参数</w:t>
            </w:r>
          </w:p>
          <w:p w14:paraId="786E6BED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湿地生态系统单位面积水体污染物净化量</w:t>
            </w:r>
          </w:p>
          <w:p w14:paraId="7409A59A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各类生态系统单位面积空气污染物净化量</w:t>
            </w:r>
          </w:p>
          <w:p w14:paraId="3AA43514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lang w:eastAsia="zh-CN"/>
              </w:rPr>
              <w:t>（二）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环境与气象监测类数据表式（B类）</w:t>
            </w:r>
          </w:p>
          <w:p w14:paraId="432E8628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年均植被生长期</w:t>
            </w:r>
          </w:p>
          <w:p w14:paraId="5A080909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空气主要污染物年平均浓度</w:t>
            </w:r>
          </w:p>
          <w:p w14:paraId="3C91E3D7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水土保持类生态参数</w:t>
            </w:r>
          </w:p>
          <w:p w14:paraId="67D43F29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海岸线类型统计数据</w:t>
            </w:r>
          </w:p>
          <w:p w14:paraId="069779E4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气象类生态参数</w:t>
            </w:r>
          </w:p>
          <w:p w14:paraId="2DF88FE7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主要气象站点逐日气象要素监测数据集</w:t>
            </w:r>
          </w:p>
          <w:p w14:paraId="39D84BA4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lang w:eastAsia="zh-CN"/>
              </w:rPr>
              <w:t>（三）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社会经济活动与定价类数据表式（C类）</w:t>
            </w:r>
          </w:p>
          <w:p w14:paraId="08B95046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电价</w:t>
            </w:r>
          </w:p>
          <w:p w14:paraId="12DC9219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农林牧渔业增加值</w:t>
            </w:r>
          </w:p>
          <w:p w14:paraId="3ECFC09E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人均工资</w:t>
            </w:r>
          </w:p>
          <w:p w14:paraId="0F23EEA0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年末常住人口</w:t>
            </w:r>
          </w:p>
          <w:p w14:paraId="5DDA9CEB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年末户籍人口</w:t>
            </w:r>
          </w:p>
          <w:p w14:paraId="6AAE3C92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房屋租赁租金</w:t>
            </w:r>
          </w:p>
          <w:p w14:paraId="0B398AFA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各级道路长度</w:t>
            </w:r>
          </w:p>
          <w:p w14:paraId="0B6DF9D7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本地供水量</w:t>
            </w:r>
          </w:p>
          <w:p w14:paraId="6E30467C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水资源价格</w:t>
            </w:r>
          </w:p>
          <w:p w14:paraId="7D9E778A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水库与蓄水池工程造价</w:t>
            </w:r>
          </w:p>
          <w:p w14:paraId="4F73E270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海堤建设单位长度工程造价</w:t>
            </w:r>
          </w:p>
          <w:p w14:paraId="33C209B3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水务局属主要公园年人流量</w:t>
            </w:r>
          </w:p>
          <w:p w14:paraId="39D37F3F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星级酒店接待和收入</w:t>
            </w:r>
          </w:p>
          <w:p w14:paraId="50F707C7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景区接待和收入</w:t>
            </w:r>
          </w:p>
          <w:p w14:paraId="73B8D45D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林业局属公园年人流量</w:t>
            </w:r>
          </w:p>
          <w:p w14:paraId="6FAFE324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市属公园年人流量</w:t>
            </w:r>
          </w:p>
          <w:p w14:paraId="7FD525F3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区属主要公园年人流量</w:t>
            </w:r>
          </w:p>
          <w:p w14:paraId="12650374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医药费用和人口死亡率</w:t>
            </w:r>
          </w:p>
          <w:p w14:paraId="04132D4B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人身损害赔偿标准</w:t>
            </w:r>
          </w:p>
          <w:p w14:paraId="69E523A7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污染物治理成本</w:t>
            </w:r>
          </w:p>
          <w:p w14:paraId="599C1A66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碳排放权交易市场配额年均价格</w:t>
            </w:r>
          </w:p>
          <w:p w14:paraId="2E38D164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深圳市酒店客房自然景观溢价调查问卷</w:t>
            </w:r>
          </w:p>
          <w:p w14:paraId="23219531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深圳市住房自然景观溢价调查问卷</w:t>
            </w:r>
          </w:p>
          <w:p w14:paraId="1219D858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深圳市旅游景观支付意愿调查问卷</w:t>
            </w:r>
          </w:p>
          <w:p w14:paraId="2E800C5E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深圳市自然景观旅游康养价值调查问卷</w:t>
            </w:r>
          </w:p>
          <w:p w14:paraId="4133A48D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lang w:eastAsia="zh-CN"/>
              </w:rPr>
              <w:t>（四）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地理信息类数据表式（D类）</w:t>
            </w:r>
          </w:p>
          <w:p w14:paraId="4A3C34ED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行政区域界线(shp格式)</w:t>
            </w:r>
          </w:p>
          <w:p w14:paraId="7CCBA1EC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海域规划范围(shp格式)</w:t>
            </w:r>
          </w:p>
          <w:p w14:paraId="036FF808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数字高程栅格(tif格式)</w:t>
            </w:r>
          </w:p>
          <w:p w14:paraId="2F373AFD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生态环境功能区矢量(shp格式)</w:t>
            </w:r>
          </w:p>
          <w:p w14:paraId="59B0929E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路侧噪声监测数据集(shp格式)</w:t>
            </w:r>
          </w:p>
          <w:p w14:paraId="4A2ED673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生态系统类型栅格(tif格式)</w:t>
            </w:r>
          </w:p>
          <w:p w14:paraId="19E3A30D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土壤属性空间分布栅格(tif格式)</w:t>
            </w:r>
          </w:p>
          <w:p w14:paraId="6D7300F4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蒸散发量空间分布栅格(tif格式)</w:t>
            </w:r>
          </w:p>
          <w:p w14:paraId="1723E13F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植被状况栅格(tif格式)</w:t>
            </w:r>
          </w:p>
          <w:p w14:paraId="509FE580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各级道路线矢量(shp格式)</w:t>
            </w:r>
          </w:p>
          <w:p w14:paraId="7CCBDFA0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河流与水库矢量(shp格式)</w:t>
            </w:r>
          </w:p>
          <w:p w14:paraId="2065D4AB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碧道空间分布矢量(shp格式)</w:t>
            </w:r>
          </w:p>
          <w:p w14:paraId="62A74315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海绵城市工程矢量(shp格式)</w:t>
            </w:r>
          </w:p>
          <w:p w14:paraId="0BA1937A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公园空间分布矢量(shp格式)</w:t>
            </w:r>
          </w:p>
          <w:p w14:paraId="4050F481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绿道空间分布矢量(shp格式)</w:t>
            </w:r>
          </w:p>
          <w:p w14:paraId="7158DEBB">
            <w:pPr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主要气象站点空间分布矢量(shp格式)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vAlign w:val="center"/>
          </w:tcPr>
          <w:p w14:paraId="4F42548D">
            <w:pPr>
              <w:pStyle w:val="5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  <w:t>深圳市生态环境局</w:t>
            </w:r>
          </w:p>
        </w:tc>
        <w:tc>
          <w:tcPr>
            <w:tcW w:w="1433" w:type="dxa"/>
            <w:tcBorders>
              <w:tl2br w:val="nil"/>
              <w:tr2bl w:val="nil"/>
            </w:tcBorders>
            <w:vAlign w:val="center"/>
          </w:tcPr>
          <w:p w14:paraId="0A9AE06F">
            <w:pPr>
              <w:jc w:val="both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 w14:paraId="4BB18C73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深环101表</w:t>
            </w:r>
          </w:p>
          <w:p w14:paraId="58F2372D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深环102表</w:t>
            </w:r>
          </w:p>
          <w:p w14:paraId="5B10BF0F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深环103表</w:t>
            </w:r>
          </w:p>
          <w:p w14:paraId="4B4E275F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深环104表</w:t>
            </w:r>
          </w:p>
          <w:p w14:paraId="4E056A42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深环105表</w:t>
            </w:r>
          </w:p>
          <w:p w14:paraId="411449E3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深环106表</w:t>
            </w:r>
          </w:p>
          <w:p w14:paraId="7896516C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深环107表</w:t>
            </w:r>
          </w:p>
          <w:p w14:paraId="113A5786">
            <w:pPr>
              <w:jc w:val="both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 w14:paraId="57108F6A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深环10</w:t>
            </w: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表</w:t>
            </w:r>
          </w:p>
          <w:p w14:paraId="63BED6BE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深环10</w:t>
            </w: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表</w:t>
            </w:r>
          </w:p>
          <w:p w14:paraId="71651DCE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深环1</w:t>
            </w: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表</w:t>
            </w:r>
          </w:p>
          <w:p w14:paraId="37A86B9A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深环1</w:t>
            </w: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11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表</w:t>
            </w:r>
          </w:p>
          <w:p w14:paraId="676A97A1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深环1</w:t>
            </w: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12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表</w:t>
            </w:r>
          </w:p>
          <w:p w14:paraId="6F4013DA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深环1</w:t>
            </w: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13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表</w:t>
            </w:r>
          </w:p>
          <w:p w14:paraId="0B4A71EF">
            <w:pPr>
              <w:pStyle w:val="9"/>
              <w:rPr>
                <w:rFonts w:hint="eastAsia"/>
                <w:lang w:val="en-US" w:eastAsia="zh-CN"/>
              </w:rPr>
            </w:pPr>
          </w:p>
          <w:p w14:paraId="3BEC6293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深环1</w:t>
            </w: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14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表</w:t>
            </w:r>
          </w:p>
          <w:p w14:paraId="039EDB63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深环1</w:t>
            </w: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15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表</w:t>
            </w:r>
          </w:p>
          <w:p w14:paraId="0D95D7C0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深环1</w:t>
            </w: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16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表</w:t>
            </w:r>
          </w:p>
          <w:p w14:paraId="0F8AFB03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深环1</w:t>
            </w: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17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表</w:t>
            </w:r>
          </w:p>
          <w:p w14:paraId="548437A9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深环1</w:t>
            </w: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18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表</w:t>
            </w:r>
          </w:p>
          <w:p w14:paraId="7BDD62E2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深环1</w:t>
            </w: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19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表</w:t>
            </w:r>
          </w:p>
          <w:p w14:paraId="0AFDD923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深环1</w:t>
            </w: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表</w:t>
            </w:r>
          </w:p>
          <w:p w14:paraId="0DE457F1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深环1</w:t>
            </w: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21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表</w:t>
            </w:r>
          </w:p>
          <w:p w14:paraId="2F809A18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深环1</w:t>
            </w: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22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表</w:t>
            </w:r>
          </w:p>
          <w:p w14:paraId="67AC17DD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深环1</w:t>
            </w: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23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表</w:t>
            </w:r>
          </w:p>
          <w:p w14:paraId="1FFA1F5A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深环1</w:t>
            </w: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24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表</w:t>
            </w:r>
          </w:p>
          <w:p w14:paraId="28ED071C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深环1</w:t>
            </w: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25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表</w:t>
            </w:r>
          </w:p>
          <w:p w14:paraId="6B4B7763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深环1</w:t>
            </w: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26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表</w:t>
            </w:r>
          </w:p>
          <w:p w14:paraId="03E8F2C0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深环1</w:t>
            </w: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7表</w:t>
            </w:r>
          </w:p>
          <w:p w14:paraId="6E3C24EC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深环1</w:t>
            </w: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8表</w:t>
            </w:r>
          </w:p>
          <w:p w14:paraId="72D61955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深环1</w:t>
            </w: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29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表</w:t>
            </w:r>
          </w:p>
          <w:p w14:paraId="55A06851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深环1</w:t>
            </w: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30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表</w:t>
            </w:r>
          </w:p>
          <w:p w14:paraId="78CD0C12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深环1</w:t>
            </w: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31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表</w:t>
            </w:r>
          </w:p>
          <w:p w14:paraId="4EE5B5B5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深环1</w:t>
            </w: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32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表</w:t>
            </w:r>
          </w:p>
          <w:p w14:paraId="638F9947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深环1</w:t>
            </w: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33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表</w:t>
            </w:r>
          </w:p>
          <w:p w14:paraId="2C425677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深环1</w:t>
            </w: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34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表</w:t>
            </w:r>
          </w:p>
          <w:p w14:paraId="3BA7C90F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深环1</w:t>
            </w: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35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表</w:t>
            </w:r>
          </w:p>
          <w:p w14:paraId="132712D5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深环1</w:t>
            </w: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36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表</w:t>
            </w:r>
          </w:p>
          <w:p w14:paraId="483F3839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深环1</w:t>
            </w: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37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表</w:t>
            </w:r>
          </w:p>
          <w:p w14:paraId="230E917D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深环1</w:t>
            </w: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38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表</w:t>
            </w:r>
          </w:p>
          <w:p w14:paraId="33076A92">
            <w:pPr>
              <w:pStyle w:val="9"/>
              <w:rPr>
                <w:rFonts w:hint="eastAsia"/>
                <w:lang w:val="en-US" w:eastAsia="zh-CN"/>
              </w:rPr>
            </w:pPr>
          </w:p>
          <w:p w14:paraId="35F5322C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深环139表</w:t>
            </w:r>
          </w:p>
          <w:p w14:paraId="700AE242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深环140表</w:t>
            </w:r>
          </w:p>
          <w:p w14:paraId="0B9F8A8B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深环141表</w:t>
            </w:r>
          </w:p>
          <w:p w14:paraId="6979A78B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深环142表</w:t>
            </w:r>
          </w:p>
          <w:p w14:paraId="3680A30C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深环143表</w:t>
            </w:r>
          </w:p>
          <w:p w14:paraId="38922D89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深环144表</w:t>
            </w:r>
          </w:p>
          <w:p w14:paraId="6BFF4BDD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深环145表</w:t>
            </w:r>
          </w:p>
          <w:p w14:paraId="5FAF3806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深环146表</w:t>
            </w:r>
          </w:p>
          <w:p w14:paraId="5A01ACE4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深环147表</w:t>
            </w:r>
          </w:p>
          <w:p w14:paraId="41A2F2E0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深环148表</w:t>
            </w:r>
          </w:p>
          <w:p w14:paraId="145826CC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深环149表</w:t>
            </w:r>
          </w:p>
          <w:p w14:paraId="16F52327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深环150表</w:t>
            </w:r>
          </w:p>
          <w:p w14:paraId="7FFAE51E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深环151表</w:t>
            </w:r>
          </w:p>
          <w:p w14:paraId="7533AFA0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深环152表</w:t>
            </w:r>
          </w:p>
          <w:p w14:paraId="42607D99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深环153表</w:t>
            </w:r>
          </w:p>
          <w:p w14:paraId="5CC805A7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深环154表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vAlign w:val="center"/>
          </w:tcPr>
          <w:p w14:paraId="00F0C87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  <w:t>深统法字〔202</w:t>
            </w:r>
            <w:r>
              <w:rPr>
                <w:rFonts w:hint="default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  <w:t>〕</w:t>
            </w:r>
            <w:r>
              <w:rPr>
                <w:rFonts w:hint="default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  <w:t>号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vAlign w:val="center"/>
          </w:tcPr>
          <w:p w14:paraId="1A54A8FB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批准时间:202</w:t>
            </w: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年</w:t>
            </w: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月</w:t>
            </w: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日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vAlign w:val="center"/>
          </w:tcPr>
          <w:p w14:paraId="2A9FE61C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有效期至：202</w:t>
            </w: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年</w:t>
            </w: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月3</w:t>
            </w: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日（年报）</w:t>
            </w:r>
          </w:p>
        </w:tc>
      </w:tr>
      <w:tr w14:paraId="4C6B41A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7" w:hRule="atLeast"/>
        </w:trPr>
        <w:tc>
          <w:tcPr>
            <w:tcW w:w="855" w:type="dxa"/>
            <w:tcBorders>
              <w:tl2br w:val="nil"/>
              <w:tr2bl w:val="nil"/>
            </w:tcBorders>
            <w:vAlign w:val="center"/>
          </w:tcPr>
          <w:p w14:paraId="2911BAF5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687" w:type="dxa"/>
            <w:tcBorders>
              <w:tl2br w:val="nil"/>
              <w:tr2bl w:val="nil"/>
            </w:tcBorders>
            <w:vAlign w:val="center"/>
          </w:tcPr>
          <w:p w14:paraId="516D3CB4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深圳市</w:t>
            </w: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电子商务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统计报表制度</w:t>
            </w:r>
          </w:p>
        </w:tc>
        <w:tc>
          <w:tcPr>
            <w:tcW w:w="6180" w:type="dxa"/>
            <w:tcBorders>
              <w:tl2br w:val="nil"/>
              <w:tr2bl w:val="nil"/>
            </w:tcBorders>
            <w:vAlign w:val="center"/>
          </w:tcPr>
          <w:p w14:paraId="71967CDE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电子商务企业经营情况表（年报）</w:t>
            </w:r>
          </w:p>
          <w:p w14:paraId="290F8047">
            <w:pPr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电子商务企业经营情况表（月报）</w:t>
            </w:r>
          </w:p>
          <w:p w14:paraId="104EFD50">
            <w:pPr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电子商务园区情况表（半年报）</w:t>
            </w:r>
          </w:p>
          <w:p w14:paraId="671C52AE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直播电商基地运营情况表（半年报）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vAlign w:val="center"/>
          </w:tcPr>
          <w:p w14:paraId="5B1A56CB">
            <w:pPr>
              <w:pStyle w:val="5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  <w:t>深圳市</w:t>
            </w:r>
            <w:r>
              <w:rPr>
                <w:rFonts w:hint="default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  <w:t>商务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  <w:t>局</w:t>
            </w:r>
          </w:p>
        </w:tc>
        <w:tc>
          <w:tcPr>
            <w:tcW w:w="1433" w:type="dxa"/>
            <w:tcBorders>
              <w:tl2br w:val="nil"/>
              <w:tr2bl w:val="nil"/>
            </w:tcBorders>
            <w:vAlign w:val="center"/>
          </w:tcPr>
          <w:p w14:paraId="28950495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instrText xml:space="preserve"> HYPERLINK \l "_液化石油气经营企业基本情况表" </w:instrTex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</w:t>
            </w: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商务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101表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fldChar w:fldCharType="end"/>
            </w:r>
          </w:p>
          <w:p w14:paraId="706616A5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instrText xml:space="preserve"> HYPERLINK \l "_2、天然气经营企业基本情况表" </w:instrTex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</w:t>
            </w: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商务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102表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fldChar w:fldCharType="end"/>
            </w:r>
          </w:p>
          <w:p w14:paraId="00C9E37A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instrText xml:space="preserve"> HYPERLINK \l "_燃具安装维修企业调查表" </w:instrTex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</w:t>
            </w: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商务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103表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fldChar w:fldCharType="end"/>
            </w:r>
          </w:p>
          <w:p w14:paraId="6EE446CA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instrText xml:space="preserve"> HYPERLINK \l "_4、燃气基础设施在建工程情况" </w:instrTex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</w:t>
            </w: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商务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104表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fldChar w:fldCharType="end"/>
            </w:r>
          </w:p>
        </w:tc>
        <w:tc>
          <w:tcPr>
            <w:tcW w:w="1530" w:type="dxa"/>
            <w:tcBorders>
              <w:tl2br w:val="nil"/>
              <w:tr2bl w:val="nil"/>
            </w:tcBorders>
            <w:vAlign w:val="center"/>
          </w:tcPr>
          <w:p w14:paraId="56CC1DC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  <w:t>深统法字〔202</w:t>
            </w:r>
            <w:r>
              <w:rPr>
                <w:rFonts w:hint="default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  <w:t>〕</w:t>
            </w:r>
            <w:r>
              <w:rPr>
                <w:rFonts w:hint="default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  <w:t>号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vAlign w:val="center"/>
          </w:tcPr>
          <w:p w14:paraId="4B0F5A1B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批准时间:202</w:t>
            </w: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年</w:t>
            </w: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月</w:t>
            </w: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日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vAlign w:val="center"/>
          </w:tcPr>
          <w:p w14:paraId="3F400EAD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有效期至：202</w:t>
            </w: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年</w:t>
            </w: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月3</w:t>
            </w: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日（年报）、</w:t>
            </w:r>
          </w:p>
          <w:p w14:paraId="56695895">
            <w:pPr>
              <w:jc w:val="center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202</w:t>
            </w: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年</w:t>
            </w: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月31日（</w:t>
            </w: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半年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报、月报）</w:t>
            </w:r>
          </w:p>
        </w:tc>
      </w:tr>
      <w:tr w14:paraId="60B735B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tcBorders>
              <w:tl2br w:val="nil"/>
              <w:tr2bl w:val="nil"/>
            </w:tcBorders>
            <w:vAlign w:val="center"/>
          </w:tcPr>
          <w:p w14:paraId="2DE797D0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687" w:type="dxa"/>
            <w:tcBorders>
              <w:tl2br w:val="nil"/>
              <w:tr2bl w:val="nil"/>
            </w:tcBorders>
            <w:vAlign w:val="center"/>
          </w:tcPr>
          <w:p w14:paraId="740BCAE4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深圳市</w:t>
            </w: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海洋经济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统计调查制度</w:t>
            </w:r>
          </w:p>
        </w:tc>
        <w:tc>
          <w:tcPr>
            <w:tcW w:w="6180" w:type="dxa"/>
            <w:tcBorders>
              <w:tl2br w:val="nil"/>
              <w:tr2bl w:val="nil"/>
            </w:tcBorders>
            <w:vAlign w:val="center"/>
          </w:tcPr>
          <w:p w14:paraId="7A702C34">
            <w:pPr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（一）</w:t>
            </w: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通用报表</w:t>
            </w:r>
          </w:p>
          <w:p w14:paraId="54339AC6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单位基本情况表</w:t>
            </w:r>
          </w:p>
          <w:p w14:paraId="57654D4C">
            <w:pPr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涉海法人单位财务状况-工业企业</w:t>
            </w:r>
          </w:p>
          <w:p w14:paraId="095813EB">
            <w:pPr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涉海法人单位财务状况-建筑业企业</w:t>
            </w:r>
          </w:p>
          <w:p w14:paraId="11352AF3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涉海法人单位财务状况-服务业企业</w:t>
            </w:r>
          </w:p>
          <w:p w14:paraId="5D448E26">
            <w:pPr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涉海法人单位财务状况-批发和零售、住宿和餐饮业企业</w:t>
            </w:r>
          </w:p>
          <w:p w14:paraId="14FE1CF2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海洋法人单位（企业）财务状况</w:t>
            </w:r>
          </w:p>
          <w:p w14:paraId="2DA9D124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海洋法人单位（行政事业单位）财务状况</w:t>
            </w:r>
          </w:p>
          <w:p w14:paraId="2E892C3B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涉海企业情况-创新示范企业</w:t>
            </w:r>
          </w:p>
          <w:p w14:paraId="57DFF6E5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涉海企业科研情况</w:t>
            </w:r>
          </w:p>
          <w:p w14:paraId="4EE21ABE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涉海工业企业创新情况</w:t>
            </w:r>
          </w:p>
          <w:p w14:paraId="48F27756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涉海建筑业企业创新情况</w:t>
            </w:r>
          </w:p>
          <w:p w14:paraId="44954BDF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涉海服务业企业创新情况</w:t>
            </w:r>
          </w:p>
          <w:p w14:paraId="08297FD3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重点涉海企业产业链情况</w:t>
            </w:r>
          </w:p>
          <w:p w14:paraId="365EC5B0">
            <w:pPr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（二）</w:t>
            </w: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业务报表</w:t>
            </w:r>
          </w:p>
          <w:p w14:paraId="542595CB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海洋渔业基本情况</w:t>
            </w:r>
          </w:p>
          <w:p w14:paraId="4E15407D">
            <w:pPr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海洋油气企业生产情况</w:t>
            </w:r>
          </w:p>
          <w:p w14:paraId="5C00CFC9">
            <w:pPr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其他海洋产业情况</w:t>
            </w:r>
          </w:p>
          <w:p w14:paraId="3AF5ABB6">
            <w:pPr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涉海法人单位科技活动情况</w:t>
            </w:r>
          </w:p>
          <w:p w14:paraId="74C329B6">
            <w:pPr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海洋矿业企业生产情况</w:t>
            </w:r>
          </w:p>
          <w:p w14:paraId="50C0F623">
            <w:pPr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海洋工程装备制造企业生产情况</w:t>
            </w:r>
          </w:p>
          <w:p w14:paraId="4DE9958A">
            <w:pPr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海洋药物和生物制品企业生产情况</w:t>
            </w:r>
          </w:p>
          <w:p w14:paraId="5E166390">
            <w:pPr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海洋电力企业生产情况</w:t>
            </w:r>
          </w:p>
          <w:p w14:paraId="61798C22">
            <w:pPr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海洋船舶企业生产情况</w:t>
            </w:r>
          </w:p>
          <w:p w14:paraId="162F396C">
            <w:pPr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海洋工程建筑项目情况</w:t>
            </w:r>
          </w:p>
          <w:p w14:paraId="7C56EE07">
            <w:pPr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海洋风能与可再生能源利用项目建设情况</w:t>
            </w:r>
          </w:p>
          <w:p w14:paraId="5D734A8F">
            <w:pPr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海水淡化与综合利用情况</w:t>
            </w:r>
          </w:p>
          <w:p w14:paraId="759176C2">
            <w:pPr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海水淡化与综合利用项目情况</w:t>
            </w:r>
          </w:p>
          <w:p w14:paraId="56561511">
            <w:pPr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海洋水产品加工企业基本情况</w:t>
            </w:r>
          </w:p>
          <w:p w14:paraId="010B1355">
            <w:pPr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海洋工程建筑企业生产情况</w:t>
            </w:r>
          </w:p>
          <w:p w14:paraId="49147627">
            <w:pPr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海上风电企业基本情况</w:t>
            </w:r>
          </w:p>
          <w:p w14:paraId="0CAEC376">
            <w:pPr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海洋电子信息企业基本情况</w:t>
            </w:r>
          </w:p>
          <w:p w14:paraId="1AAA34B5"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海洋公共服务企业基本情况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vAlign w:val="center"/>
          </w:tcPr>
          <w:p w14:paraId="5AD89BF7">
            <w:pPr>
              <w:pStyle w:val="5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  <w:t>深圳市</w:t>
            </w:r>
            <w:r>
              <w:rPr>
                <w:rFonts w:hint="default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  <w:t>海洋发展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  <w:t>局</w:t>
            </w:r>
          </w:p>
        </w:tc>
        <w:tc>
          <w:tcPr>
            <w:tcW w:w="1433" w:type="dxa"/>
            <w:tcBorders>
              <w:tl2br w:val="nil"/>
              <w:tr2bl w:val="nil"/>
            </w:tcBorders>
            <w:vAlign w:val="center"/>
          </w:tcPr>
          <w:p w14:paraId="5824134A">
            <w:pPr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</w:p>
          <w:p w14:paraId="28F3BE90">
            <w:pPr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深海发1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01表</w:t>
            </w:r>
          </w:p>
          <w:p w14:paraId="5D39E867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深海发102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表</w:t>
            </w:r>
          </w:p>
          <w:p w14:paraId="15608B72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深海发103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表</w:t>
            </w:r>
          </w:p>
          <w:p w14:paraId="1600188A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深海发104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表</w:t>
            </w:r>
          </w:p>
          <w:p w14:paraId="53B5870D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深海发105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表</w:t>
            </w:r>
          </w:p>
          <w:p w14:paraId="091E3A19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深海发106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表</w:t>
            </w:r>
          </w:p>
          <w:p w14:paraId="1A07B343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深海发107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表</w:t>
            </w:r>
          </w:p>
          <w:p w14:paraId="61B80E51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深海发108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表</w:t>
            </w:r>
          </w:p>
          <w:p w14:paraId="6F7F63F1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深海发109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表</w:t>
            </w:r>
          </w:p>
          <w:p w14:paraId="0550EE31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深海发110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表</w:t>
            </w:r>
          </w:p>
          <w:p w14:paraId="08AF6870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深海发111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表</w:t>
            </w:r>
          </w:p>
          <w:p w14:paraId="2BC93E4D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深海发112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表</w:t>
            </w:r>
          </w:p>
          <w:p w14:paraId="503862E7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深海发113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表</w:t>
            </w:r>
          </w:p>
          <w:p w14:paraId="390CEEF9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 w14:paraId="1CED161E">
            <w:pPr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深海发114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表</w:t>
            </w:r>
          </w:p>
          <w:p w14:paraId="29E54F67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深海发115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表</w:t>
            </w:r>
          </w:p>
          <w:p w14:paraId="79CCEE3D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深海发116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表</w:t>
            </w:r>
          </w:p>
          <w:p w14:paraId="2EAAE5BE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深海发117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表</w:t>
            </w:r>
          </w:p>
          <w:p w14:paraId="0A3779D6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深海发118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表</w:t>
            </w:r>
          </w:p>
          <w:p w14:paraId="14BA1F4A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深海发119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表</w:t>
            </w:r>
          </w:p>
          <w:p w14:paraId="22F4224D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深海发120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表</w:t>
            </w:r>
          </w:p>
          <w:p w14:paraId="5D3CF2C0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深海发121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表</w:t>
            </w:r>
          </w:p>
          <w:p w14:paraId="1747A242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深海发122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表</w:t>
            </w:r>
          </w:p>
          <w:p w14:paraId="4952C977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深海发123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表</w:t>
            </w:r>
          </w:p>
          <w:p w14:paraId="23116FB5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深海发124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表</w:t>
            </w:r>
          </w:p>
          <w:p w14:paraId="303B83B7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深海发125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表</w:t>
            </w:r>
          </w:p>
          <w:p w14:paraId="3EA9A5AA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深海发126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表</w:t>
            </w:r>
          </w:p>
          <w:p w14:paraId="70F20678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深海发127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表</w:t>
            </w:r>
          </w:p>
          <w:p w14:paraId="5E20C603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深海发128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表</w:t>
            </w:r>
          </w:p>
          <w:p w14:paraId="17515ED8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深海发129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表</w:t>
            </w:r>
          </w:p>
          <w:p w14:paraId="66D45521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深海发130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表</w:t>
            </w:r>
          </w:p>
          <w:p w14:paraId="41880320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深海发131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表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vAlign w:val="center"/>
          </w:tcPr>
          <w:p w14:paraId="3D2FC6C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  <w:t>深统法字〔202</w:t>
            </w:r>
            <w:r>
              <w:rPr>
                <w:rFonts w:hint="default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  <w:t>〕3号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vAlign w:val="center"/>
          </w:tcPr>
          <w:p w14:paraId="09FEAA2C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批准时间:202</w:t>
            </w: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年2月13日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vAlign w:val="center"/>
          </w:tcPr>
          <w:p w14:paraId="0539DB0C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有效期至：2026年</w:t>
            </w: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月31日（年报）</w:t>
            </w: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、202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7</w:t>
            </w: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年3月31日（季报、月报）</w:t>
            </w:r>
          </w:p>
        </w:tc>
      </w:tr>
      <w:tr w14:paraId="0910C92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 w:hRule="atLeast"/>
        </w:trPr>
        <w:tc>
          <w:tcPr>
            <w:tcW w:w="855" w:type="dxa"/>
            <w:tcBorders>
              <w:tl2br w:val="nil"/>
              <w:tr2bl w:val="nil"/>
            </w:tcBorders>
            <w:vAlign w:val="center"/>
          </w:tcPr>
          <w:p w14:paraId="3521A2CC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687" w:type="dxa"/>
            <w:tcBorders>
              <w:tl2br w:val="nil"/>
              <w:tr2bl w:val="nil"/>
            </w:tcBorders>
            <w:vAlign w:val="center"/>
          </w:tcPr>
          <w:p w14:paraId="49D852B7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深圳市残疾人家庭收入状况调查统计制度</w:t>
            </w:r>
          </w:p>
        </w:tc>
        <w:tc>
          <w:tcPr>
            <w:tcW w:w="6180" w:type="dxa"/>
            <w:tcBorders>
              <w:tl2br w:val="nil"/>
              <w:tr2bl w:val="nil"/>
            </w:tcBorders>
            <w:vAlign w:val="center"/>
          </w:tcPr>
          <w:p w14:paraId="00AD26CF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深圳市残疾人家庭收入状况统计调查表</w:t>
            </w:r>
          </w:p>
          <w:p w14:paraId="1E2DC0A3"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深圳市残疾人社会救济和政策性生活补贴调查表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vAlign w:val="center"/>
          </w:tcPr>
          <w:p w14:paraId="6505607A">
            <w:pPr>
              <w:pStyle w:val="5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  <w:t>深圳市残疾人联合会</w:t>
            </w:r>
          </w:p>
        </w:tc>
        <w:tc>
          <w:tcPr>
            <w:tcW w:w="1433" w:type="dxa"/>
            <w:tcBorders>
              <w:tl2br w:val="nil"/>
              <w:tr2bl w:val="nil"/>
            </w:tcBorders>
            <w:vAlign w:val="center"/>
          </w:tcPr>
          <w:p w14:paraId="2DEFDCB4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深残发101表</w:t>
            </w:r>
          </w:p>
          <w:p w14:paraId="325E7E30">
            <w:pPr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深残发102表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vAlign w:val="center"/>
          </w:tcPr>
          <w:p w14:paraId="1D37A1F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  <w:t>深统法字〔202</w:t>
            </w:r>
            <w:r>
              <w:rPr>
                <w:rFonts w:hint="default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  <w:t>〕</w:t>
            </w:r>
            <w:r>
              <w:rPr>
                <w:rFonts w:hint="default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  <w:t>号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vAlign w:val="center"/>
          </w:tcPr>
          <w:p w14:paraId="6FF7C0D2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批准时间:202</w:t>
            </w: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年</w:t>
            </w: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月</w:t>
            </w: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日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vAlign w:val="center"/>
          </w:tcPr>
          <w:p w14:paraId="5B5B1F37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有效期至：202</w:t>
            </w: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年</w:t>
            </w: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月3</w:t>
            </w: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日（年报）</w:t>
            </w:r>
          </w:p>
        </w:tc>
      </w:tr>
      <w:tr w14:paraId="1D5B089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1" w:hRule="atLeast"/>
        </w:trPr>
        <w:tc>
          <w:tcPr>
            <w:tcW w:w="855" w:type="dxa"/>
            <w:tcBorders>
              <w:tl2br w:val="nil"/>
              <w:tr2bl w:val="nil"/>
            </w:tcBorders>
            <w:vAlign w:val="center"/>
          </w:tcPr>
          <w:p w14:paraId="513F63B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687" w:type="dxa"/>
            <w:tcBorders>
              <w:tl2br w:val="nil"/>
              <w:tr2bl w:val="nil"/>
            </w:tcBorders>
            <w:vAlign w:val="center"/>
          </w:tcPr>
          <w:p w14:paraId="42F0F007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深圳市旅游统计调查制度</w:t>
            </w:r>
          </w:p>
        </w:tc>
        <w:tc>
          <w:tcPr>
            <w:tcW w:w="6180" w:type="dxa"/>
            <w:tcBorders>
              <w:tl2br w:val="nil"/>
              <w:tr2bl w:val="nil"/>
            </w:tcBorders>
            <w:vAlign w:val="center"/>
          </w:tcPr>
          <w:p w14:paraId="1605A788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一、基层报表</w:t>
            </w:r>
          </w:p>
          <w:p w14:paraId="40CCF157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旅游单位基本情况表</w:t>
            </w:r>
          </w:p>
          <w:p w14:paraId="0A54E231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旅行社外联接待入境旅游情况基层月报表</w:t>
            </w:r>
          </w:p>
          <w:p w14:paraId="085A282D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旅行社接待国内游客情况基层月报表</w:t>
            </w:r>
          </w:p>
          <w:p w14:paraId="6FD61E1F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旅行社组团国内旅游情况基层月报表</w:t>
            </w:r>
          </w:p>
          <w:p w14:paraId="335F8FAF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旅行社组织出境旅游情况基层月报表</w:t>
            </w:r>
          </w:p>
          <w:p w14:paraId="791E725A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旅行社经营情况基层季报表</w:t>
            </w:r>
          </w:p>
          <w:p w14:paraId="114A0283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旅行社主要财务指标基层年报表</w:t>
            </w:r>
          </w:p>
          <w:p w14:paraId="11B8F4B6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旅游住宿单位接待情况基层月报表</w:t>
            </w:r>
          </w:p>
          <w:p w14:paraId="38B443CC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旅游住宿单位经营情况基层季报表</w:t>
            </w:r>
          </w:p>
          <w:p w14:paraId="4227AE37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旅游住宿单位主要财务指标基层年报表</w:t>
            </w:r>
          </w:p>
          <w:p w14:paraId="7B91CF03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旅游景区（点）接待情况基层月报表</w:t>
            </w:r>
          </w:p>
          <w:p w14:paraId="1B462C8E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旅游景区（点）经营情况基层季报表</w:t>
            </w:r>
          </w:p>
          <w:p w14:paraId="58643BC7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旅游景区（点）主要财务指标基层年报表</w:t>
            </w:r>
          </w:p>
          <w:p w14:paraId="73BA8B62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其他旅游企业经营情况基层季报表</w:t>
            </w:r>
          </w:p>
          <w:p w14:paraId="7F9F6D4D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其他旅游企业主要财务指标基层年报表</w:t>
            </w:r>
          </w:p>
          <w:p w14:paraId="2B56697B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深圳市节假日旅游情况调查日报表</w:t>
            </w:r>
          </w:p>
          <w:p w14:paraId="0B19B4D6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二、部门报表</w:t>
            </w:r>
          </w:p>
          <w:p w14:paraId="70CC8A58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黄金周交通运输部门客运情况日报表</w:t>
            </w:r>
          </w:p>
          <w:p w14:paraId="64195370"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黄金周期间出入境旅客统计日报表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vAlign w:val="center"/>
          </w:tcPr>
          <w:p w14:paraId="70641707">
            <w:pPr>
              <w:pStyle w:val="5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  <w:t>深圳市文化广电旅游体育局</w:t>
            </w:r>
          </w:p>
        </w:tc>
        <w:tc>
          <w:tcPr>
            <w:tcW w:w="1433" w:type="dxa"/>
            <w:tcBorders>
              <w:tl2br w:val="nil"/>
              <w:tr2bl w:val="nil"/>
            </w:tcBorders>
            <w:vAlign w:val="center"/>
          </w:tcPr>
          <w:p w14:paraId="58E93C22">
            <w:pPr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</w:p>
          <w:p w14:paraId="74330110">
            <w:pPr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深旅1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01表</w:t>
            </w:r>
          </w:p>
          <w:p w14:paraId="11790500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深旅1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02表</w:t>
            </w:r>
          </w:p>
          <w:p w14:paraId="06A12B6E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深旅1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03表</w:t>
            </w:r>
          </w:p>
          <w:p w14:paraId="2B1939E7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深旅1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04表</w:t>
            </w:r>
          </w:p>
          <w:p w14:paraId="53AC0259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深旅1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05表</w:t>
            </w:r>
          </w:p>
          <w:p w14:paraId="7F75A0D1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深旅1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06表</w:t>
            </w:r>
          </w:p>
          <w:p w14:paraId="65770F4B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深旅1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07表</w:t>
            </w:r>
          </w:p>
          <w:p w14:paraId="60D0DA9A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深旅1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08表</w:t>
            </w:r>
          </w:p>
          <w:p w14:paraId="1EE8E484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深旅1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09表</w:t>
            </w:r>
          </w:p>
          <w:p w14:paraId="1497C0B7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深旅1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10表</w:t>
            </w:r>
          </w:p>
          <w:p w14:paraId="47ABB565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深旅1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11表</w:t>
            </w:r>
          </w:p>
          <w:p w14:paraId="7F5C4AD7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深旅1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12表</w:t>
            </w:r>
          </w:p>
          <w:p w14:paraId="72575CE5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深旅1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13表</w:t>
            </w:r>
          </w:p>
          <w:p w14:paraId="50488708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深旅1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14表</w:t>
            </w:r>
          </w:p>
          <w:p w14:paraId="5EB85469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深旅1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15表</w:t>
            </w:r>
          </w:p>
          <w:p w14:paraId="52FEFF4D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深旅1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16表</w:t>
            </w:r>
          </w:p>
          <w:p w14:paraId="78D42A3F">
            <w:pPr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</w:p>
          <w:p w14:paraId="2B380B21">
            <w:pPr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深旅1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17表</w:t>
            </w:r>
          </w:p>
          <w:p w14:paraId="7E6AB50A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深旅1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18表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vAlign w:val="center"/>
          </w:tcPr>
          <w:p w14:paraId="7B4D7B7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  <w:t>深统法字〔202</w:t>
            </w:r>
            <w:r>
              <w:rPr>
                <w:rFonts w:hint="default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  <w:t>〕5号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vAlign w:val="center"/>
          </w:tcPr>
          <w:p w14:paraId="11ADB0B6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批准时间:202</w:t>
            </w: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年4月13日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vAlign w:val="center"/>
          </w:tcPr>
          <w:p w14:paraId="2CA12954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有效期至：202</w:t>
            </w: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年3月31日</w:t>
            </w:r>
          </w:p>
        </w:tc>
      </w:tr>
      <w:tr w14:paraId="42FA677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tcBorders>
              <w:tl2br w:val="nil"/>
              <w:tr2bl w:val="nil"/>
            </w:tcBorders>
            <w:vAlign w:val="center"/>
          </w:tcPr>
          <w:p w14:paraId="384EDB58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687" w:type="dxa"/>
            <w:tcBorders>
              <w:tl2br w:val="nil"/>
              <w:tr2bl w:val="nil"/>
            </w:tcBorders>
            <w:vAlign w:val="center"/>
          </w:tcPr>
          <w:p w14:paraId="463BAEDC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深圳市银发经济统计调查制度</w:t>
            </w:r>
          </w:p>
        </w:tc>
        <w:tc>
          <w:tcPr>
            <w:tcW w:w="6180" w:type="dxa"/>
            <w:tcBorders>
              <w:tl2br w:val="nil"/>
              <w:tr2bl w:val="nil"/>
            </w:tcBorders>
            <w:vAlign w:val="center"/>
          </w:tcPr>
          <w:p w14:paraId="4B47C699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单位基本情况表</w:t>
            </w:r>
          </w:p>
          <w:p w14:paraId="572CE2AB">
            <w:pPr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银发经济企业财务状况表</w:t>
            </w:r>
          </w:p>
          <w:p w14:paraId="0DBCC518">
            <w:pPr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银发经济行政、事业单位财务状况表</w:t>
            </w:r>
          </w:p>
          <w:p w14:paraId="5497C096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银发经济民间非营利组织财务状况表</w:t>
            </w:r>
          </w:p>
          <w:p w14:paraId="288DC107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业务活动调查表（季度）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vAlign w:val="center"/>
          </w:tcPr>
          <w:p w14:paraId="52E3FCFD">
            <w:pPr>
              <w:pStyle w:val="5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  <w:t>深圳市民政局</w:t>
            </w:r>
          </w:p>
        </w:tc>
        <w:tc>
          <w:tcPr>
            <w:tcW w:w="1433" w:type="dxa"/>
            <w:tcBorders>
              <w:tl2br w:val="nil"/>
              <w:tr2bl w:val="nil"/>
            </w:tcBorders>
            <w:vAlign w:val="center"/>
          </w:tcPr>
          <w:p w14:paraId="6F5DB4DA">
            <w:pPr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深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民</w:t>
            </w: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01表</w:t>
            </w:r>
          </w:p>
          <w:p w14:paraId="0FF05F3E">
            <w:pPr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深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民</w:t>
            </w: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102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表</w:t>
            </w:r>
          </w:p>
          <w:p w14:paraId="2F914243">
            <w:pPr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深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民</w:t>
            </w: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103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表</w:t>
            </w:r>
          </w:p>
          <w:p w14:paraId="78ADEF53">
            <w:pPr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深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民</w:t>
            </w: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104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表</w:t>
            </w:r>
          </w:p>
          <w:p w14:paraId="1E77EEE6">
            <w:pPr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深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民</w:t>
            </w: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105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表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vAlign w:val="center"/>
          </w:tcPr>
          <w:p w14:paraId="439ADFA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  <w:t>深统法字〔202</w:t>
            </w:r>
            <w:r>
              <w:rPr>
                <w:rFonts w:hint="default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  <w:t>〕6号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vAlign w:val="center"/>
          </w:tcPr>
          <w:p w14:paraId="601C4E1B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批准时间:202</w:t>
            </w: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年4月16日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vAlign w:val="center"/>
          </w:tcPr>
          <w:p w14:paraId="516088D6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有效期至：202</w:t>
            </w: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年5月31日（季报）</w:t>
            </w:r>
          </w:p>
        </w:tc>
      </w:tr>
      <w:tr w14:paraId="5C091E5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tcBorders>
              <w:tl2br w:val="nil"/>
              <w:tr2bl w:val="nil"/>
            </w:tcBorders>
            <w:vAlign w:val="center"/>
          </w:tcPr>
          <w:p w14:paraId="42DFD081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687" w:type="dxa"/>
            <w:tcBorders>
              <w:tl2br w:val="nil"/>
              <w:tr2bl w:val="nil"/>
            </w:tcBorders>
            <w:vAlign w:val="center"/>
          </w:tcPr>
          <w:p w14:paraId="3601D837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深圳市体育消费统计报表制度</w:t>
            </w:r>
          </w:p>
        </w:tc>
        <w:tc>
          <w:tcPr>
            <w:tcW w:w="6180" w:type="dxa"/>
            <w:tcBorders>
              <w:tl2br w:val="nil"/>
              <w:tr2bl w:val="nil"/>
            </w:tcBorders>
            <w:vAlign w:val="center"/>
          </w:tcPr>
          <w:p w14:paraId="29574144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居民体育消费调查问卷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vAlign w:val="center"/>
          </w:tcPr>
          <w:p w14:paraId="609D8876">
            <w:pPr>
              <w:pStyle w:val="5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  <w:t>深圳市文化广电旅游体育局</w:t>
            </w:r>
          </w:p>
        </w:tc>
        <w:tc>
          <w:tcPr>
            <w:tcW w:w="1433" w:type="dxa"/>
            <w:tcBorders>
              <w:tl2br w:val="nil"/>
              <w:tr2bl w:val="nil"/>
            </w:tcBorders>
            <w:vAlign w:val="center"/>
          </w:tcPr>
          <w:p w14:paraId="22C33487">
            <w:pPr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</w:p>
          <w:p w14:paraId="42AB5279">
            <w:pPr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深旅2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01表</w:t>
            </w:r>
          </w:p>
          <w:p w14:paraId="5C2E36A5">
            <w:pPr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1530" w:type="dxa"/>
            <w:tcBorders>
              <w:tl2br w:val="nil"/>
              <w:tr2bl w:val="nil"/>
            </w:tcBorders>
            <w:vAlign w:val="center"/>
          </w:tcPr>
          <w:p w14:paraId="3DEB896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  <w:t>深统法字〔202</w:t>
            </w:r>
            <w:r>
              <w:rPr>
                <w:rFonts w:hint="default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  <w:t>〕</w:t>
            </w:r>
            <w:r>
              <w:rPr>
                <w:rFonts w:hint="default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  <w:t>号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vAlign w:val="center"/>
          </w:tcPr>
          <w:p w14:paraId="591A4FEC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批准时间:202</w:t>
            </w: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年4月</w:t>
            </w: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21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日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vAlign w:val="center"/>
          </w:tcPr>
          <w:p w14:paraId="3A14A0B8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有效期至：202</w:t>
            </w: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年</w:t>
            </w: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月3</w:t>
            </w: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日（年报）</w:t>
            </w:r>
          </w:p>
        </w:tc>
      </w:tr>
      <w:tr w14:paraId="709A82E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tcBorders>
              <w:tl2br w:val="nil"/>
              <w:tr2bl w:val="nil"/>
            </w:tcBorders>
            <w:vAlign w:val="center"/>
          </w:tcPr>
          <w:p w14:paraId="05942B2F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687" w:type="dxa"/>
            <w:tcBorders>
              <w:tl2br w:val="nil"/>
              <w:tr2bl w:val="nil"/>
            </w:tcBorders>
            <w:vAlign w:val="center"/>
          </w:tcPr>
          <w:p w14:paraId="546DBEC8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bookmarkStart w:id="0" w:name="_Hlk87884361"/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深圳市前海深港现代服务业合作区新兴金融业统计调查制度</w:t>
            </w:r>
            <w:bookmarkEnd w:id="0"/>
          </w:p>
        </w:tc>
        <w:tc>
          <w:tcPr>
            <w:tcW w:w="6180" w:type="dxa"/>
            <w:tcBorders>
              <w:tl2br w:val="nil"/>
              <w:tr2bl w:val="nil"/>
            </w:tcBorders>
            <w:vAlign w:val="center"/>
          </w:tcPr>
          <w:p w14:paraId="426AF0C1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深圳市前海深港现代服务业合作区新兴金融业统计调查季度报表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vAlign w:val="center"/>
          </w:tcPr>
          <w:p w14:paraId="09BCA2AE">
            <w:pPr>
              <w:pStyle w:val="5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  <w:t>深圳市前海深港现代服务业合作区管</w:t>
            </w:r>
            <w:bookmarkStart w:id="1" w:name="_GoBack"/>
            <w:bookmarkEnd w:id="1"/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  <w:t>理局</w:t>
            </w:r>
          </w:p>
        </w:tc>
        <w:tc>
          <w:tcPr>
            <w:tcW w:w="1433" w:type="dxa"/>
            <w:tcBorders>
              <w:tl2br w:val="nil"/>
              <w:tr2bl w:val="nil"/>
            </w:tcBorders>
            <w:vAlign w:val="center"/>
          </w:tcPr>
          <w:p w14:paraId="60C5C57C">
            <w:pPr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深前海101表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vAlign w:val="center"/>
          </w:tcPr>
          <w:p w14:paraId="5626135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  <w:t>深统法字〔202</w:t>
            </w:r>
            <w:r>
              <w:rPr>
                <w:rFonts w:hint="default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  <w:t>〕</w:t>
            </w:r>
            <w:r>
              <w:rPr>
                <w:rFonts w:hint="default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  <w:t>号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vAlign w:val="center"/>
          </w:tcPr>
          <w:p w14:paraId="3C04AD98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批准时间:202</w:t>
            </w: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年4月</w:t>
            </w: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27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日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vAlign w:val="center"/>
          </w:tcPr>
          <w:p w14:paraId="2C0DD97C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有效期至：202</w:t>
            </w: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年</w:t>
            </w: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月31日（季报）</w:t>
            </w:r>
          </w:p>
        </w:tc>
      </w:tr>
      <w:tr w14:paraId="3E1DFAC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tcBorders>
              <w:tl2br w:val="nil"/>
              <w:tr2bl w:val="nil"/>
            </w:tcBorders>
            <w:vAlign w:val="center"/>
          </w:tcPr>
          <w:p w14:paraId="581A167F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687" w:type="dxa"/>
            <w:tcBorders>
              <w:tl2br w:val="nil"/>
              <w:tr2bl w:val="nil"/>
            </w:tcBorders>
            <w:vAlign w:val="center"/>
          </w:tcPr>
          <w:p w14:paraId="6C7619FC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深圳市体育产业统计调查制度</w:t>
            </w:r>
          </w:p>
        </w:tc>
        <w:tc>
          <w:tcPr>
            <w:tcW w:w="6180" w:type="dxa"/>
            <w:tcBorders>
              <w:tl2br w:val="nil"/>
              <w:tr2bl w:val="nil"/>
            </w:tcBorders>
            <w:vAlign w:val="center"/>
          </w:tcPr>
          <w:p w14:paraId="4134508D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“四上”单位基本情况表</w:t>
            </w:r>
          </w:p>
          <w:p w14:paraId="599319D7">
            <w:pPr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非一套表单位基本情况表</w:t>
            </w:r>
          </w:p>
          <w:p w14:paraId="09366AFE">
            <w:pPr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体育服务业企业财务状况</w:t>
            </w:r>
          </w:p>
          <w:p w14:paraId="3B6366C8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体育服务业行政、事业单位财务状况</w:t>
            </w:r>
          </w:p>
          <w:p w14:paraId="0F9E7DFC">
            <w:pPr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体育服务业民间非营利组织单位财务状况</w:t>
            </w:r>
          </w:p>
          <w:p w14:paraId="3380AE8E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非独立体育部门调查表</w:t>
            </w:r>
          </w:p>
          <w:p w14:paraId="5157EB3B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服务业企业经营情况调查表</w:t>
            </w:r>
          </w:p>
          <w:p w14:paraId="6ECDFB44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百货公司、大型超市中体育用品、运动服装鞋帽销售情况调查表</w:t>
            </w:r>
          </w:p>
          <w:p w14:paraId="5A5FA206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服装、鞋帽销售企业中体育服装鞋帽销售情况调查表</w:t>
            </w:r>
          </w:p>
          <w:p w14:paraId="14135C5F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制造业企业体育产品制造情况调查表</w:t>
            </w:r>
          </w:p>
          <w:p w14:paraId="2CC0AF42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体育制造业企业财务状况表</w:t>
            </w:r>
          </w:p>
          <w:p w14:paraId="45B05DFA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室内外体育场地设施安装企业财务状况表</w:t>
            </w:r>
          </w:p>
          <w:p w14:paraId="41B223DB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企业季度财务状况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vAlign w:val="center"/>
          </w:tcPr>
          <w:p w14:paraId="114FB03C">
            <w:pPr>
              <w:pStyle w:val="5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  <w:t>深圳市文化广电旅游体育局</w:t>
            </w:r>
          </w:p>
        </w:tc>
        <w:tc>
          <w:tcPr>
            <w:tcW w:w="1433" w:type="dxa"/>
            <w:tcBorders>
              <w:tl2br w:val="nil"/>
              <w:tr2bl w:val="nil"/>
            </w:tcBorders>
            <w:vAlign w:val="center"/>
          </w:tcPr>
          <w:p w14:paraId="765AACC8">
            <w:pPr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深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旅301表</w:t>
            </w:r>
          </w:p>
          <w:p w14:paraId="6844E8A1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深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旅302表</w:t>
            </w:r>
          </w:p>
          <w:p w14:paraId="6213946D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深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旅303表</w:t>
            </w:r>
          </w:p>
          <w:p w14:paraId="049829C0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深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旅304表</w:t>
            </w:r>
          </w:p>
          <w:p w14:paraId="506E7D72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深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旅305表</w:t>
            </w:r>
          </w:p>
          <w:p w14:paraId="558DE6C1">
            <w:pPr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深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旅306表</w:t>
            </w:r>
          </w:p>
          <w:p w14:paraId="5C19C38C">
            <w:pPr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深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旅307表</w:t>
            </w:r>
          </w:p>
          <w:p w14:paraId="14C94B80">
            <w:pPr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深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旅308表</w:t>
            </w:r>
          </w:p>
          <w:p w14:paraId="0DE237AD">
            <w:pPr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深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旅309表</w:t>
            </w:r>
          </w:p>
          <w:p w14:paraId="1D843C85">
            <w:pPr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深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旅310表</w:t>
            </w:r>
          </w:p>
          <w:p w14:paraId="25A8DBB1">
            <w:pPr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深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旅311表</w:t>
            </w:r>
          </w:p>
          <w:p w14:paraId="3AAA2C47">
            <w:pPr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深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旅312表</w:t>
            </w:r>
          </w:p>
          <w:p w14:paraId="2E00EB0F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深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旅313表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vAlign w:val="center"/>
          </w:tcPr>
          <w:p w14:paraId="614C5E3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  <w:t>深统法字〔202</w:t>
            </w:r>
            <w:r>
              <w:rPr>
                <w:rFonts w:hint="default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  <w:t>〕</w:t>
            </w:r>
            <w:r>
              <w:rPr>
                <w:rFonts w:hint="default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  <w:t>号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vAlign w:val="center"/>
          </w:tcPr>
          <w:p w14:paraId="66247D51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批准时间:202</w:t>
            </w: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年4月</w:t>
            </w: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29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日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vAlign w:val="center"/>
          </w:tcPr>
          <w:p w14:paraId="520EFBD2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有效期至：202</w:t>
            </w: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年</w:t>
            </w: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月3</w:t>
            </w: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日（年报）、</w:t>
            </w:r>
          </w:p>
          <w:p w14:paraId="47296B16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202</w:t>
            </w: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年</w:t>
            </w: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月31日（季报）</w:t>
            </w:r>
          </w:p>
        </w:tc>
      </w:tr>
      <w:tr w14:paraId="3774F8F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tcBorders>
              <w:tl2br w:val="nil"/>
              <w:tr2bl w:val="nil"/>
            </w:tcBorders>
            <w:vAlign w:val="center"/>
          </w:tcPr>
          <w:p w14:paraId="32BA4EC6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687" w:type="dxa"/>
            <w:tcBorders>
              <w:tl2br w:val="nil"/>
              <w:tr2bl w:val="nil"/>
            </w:tcBorders>
            <w:vAlign w:val="center"/>
          </w:tcPr>
          <w:p w14:paraId="576569B9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深圳市技工院校毕业生用人单位统计调查报表制度</w:t>
            </w:r>
          </w:p>
        </w:tc>
        <w:tc>
          <w:tcPr>
            <w:tcW w:w="6180" w:type="dxa"/>
            <w:tcBorders>
              <w:tl2br w:val="nil"/>
              <w:tr2bl w:val="nil"/>
            </w:tcBorders>
            <w:vAlign w:val="center"/>
          </w:tcPr>
          <w:p w14:paraId="6B711AF0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技工院校用人单位调查信息收集表</w:t>
            </w:r>
          </w:p>
          <w:p w14:paraId="7D1D0BB2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用人单位满意度调查问卷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vAlign w:val="center"/>
          </w:tcPr>
          <w:p w14:paraId="4B142A86">
            <w:pPr>
              <w:pStyle w:val="5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  <w:t>深圳市人力资源和社会保障局</w:t>
            </w:r>
          </w:p>
        </w:tc>
        <w:tc>
          <w:tcPr>
            <w:tcW w:w="1433" w:type="dxa"/>
            <w:tcBorders>
              <w:tl2br w:val="nil"/>
              <w:tr2bl w:val="nil"/>
            </w:tcBorders>
            <w:vAlign w:val="center"/>
          </w:tcPr>
          <w:p w14:paraId="02B70EB8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</w:t>
            </w: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人社1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01表</w:t>
            </w:r>
          </w:p>
          <w:p w14:paraId="2465533D">
            <w:pPr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</w:t>
            </w: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人社1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0</w:t>
            </w: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表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vAlign w:val="center"/>
          </w:tcPr>
          <w:p w14:paraId="3278F60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  <w:t>深统法字〔202</w:t>
            </w:r>
            <w:r>
              <w:rPr>
                <w:rFonts w:hint="default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  <w:t>〕</w:t>
            </w:r>
            <w:r>
              <w:rPr>
                <w:rFonts w:hint="default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  <w:t>号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vAlign w:val="center"/>
          </w:tcPr>
          <w:p w14:paraId="1764EF35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批准时间:202</w:t>
            </w: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年</w:t>
            </w: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月</w:t>
            </w: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日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vAlign w:val="center"/>
          </w:tcPr>
          <w:p w14:paraId="71745F0C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有效期至：202</w:t>
            </w: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年</w:t>
            </w: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月3</w:t>
            </w: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日</w:t>
            </w:r>
          </w:p>
        </w:tc>
      </w:tr>
    </w:tbl>
    <w:p w14:paraId="0A043271">
      <w:pPr>
        <w:rPr>
          <w:rFonts w:hint="default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7A"/>
    <w:family w:val="auto"/>
    <w:pitch w:val="default"/>
    <w:sig w:usb0="00000000" w:usb1="0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文鼎书宋二">
    <w:altName w:val="方正书宋_GBK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4F7EC1"/>
    <w:rsid w:val="005C3569"/>
    <w:rsid w:val="008150C4"/>
    <w:rsid w:val="018A6385"/>
    <w:rsid w:val="03FF6DE8"/>
    <w:rsid w:val="05557CE7"/>
    <w:rsid w:val="05934C33"/>
    <w:rsid w:val="08A55D68"/>
    <w:rsid w:val="0A3D3169"/>
    <w:rsid w:val="0BFBF3E7"/>
    <w:rsid w:val="0BFD1FBD"/>
    <w:rsid w:val="0D216C18"/>
    <w:rsid w:val="0FDC46D2"/>
    <w:rsid w:val="12481EE0"/>
    <w:rsid w:val="134672C7"/>
    <w:rsid w:val="141906E0"/>
    <w:rsid w:val="15007115"/>
    <w:rsid w:val="15C70BE7"/>
    <w:rsid w:val="15E27394"/>
    <w:rsid w:val="162C03C4"/>
    <w:rsid w:val="17180ABA"/>
    <w:rsid w:val="18433D6D"/>
    <w:rsid w:val="18892D16"/>
    <w:rsid w:val="1CCA6731"/>
    <w:rsid w:val="1DCD422B"/>
    <w:rsid w:val="1DDF25A7"/>
    <w:rsid w:val="1DFEE92E"/>
    <w:rsid w:val="1E73673E"/>
    <w:rsid w:val="1ECA98DD"/>
    <w:rsid w:val="22080C9A"/>
    <w:rsid w:val="239443AC"/>
    <w:rsid w:val="243C2E7E"/>
    <w:rsid w:val="286A233F"/>
    <w:rsid w:val="29913075"/>
    <w:rsid w:val="2A46778C"/>
    <w:rsid w:val="2DA32173"/>
    <w:rsid w:val="2E6B7095"/>
    <w:rsid w:val="2E8662DC"/>
    <w:rsid w:val="2F7FEC36"/>
    <w:rsid w:val="2FDA0324"/>
    <w:rsid w:val="3024634F"/>
    <w:rsid w:val="306E2D3E"/>
    <w:rsid w:val="31055A7E"/>
    <w:rsid w:val="31C1504E"/>
    <w:rsid w:val="32E7E72A"/>
    <w:rsid w:val="334519E4"/>
    <w:rsid w:val="34EFD862"/>
    <w:rsid w:val="3636704B"/>
    <w:rsid w:val="367A51BE"/>
    <w:rsid w:val="36BD8F2E"/>
    <w:rsid w:val="372FAEBC"/>
    <w:rsid w:val="377EBFB3"/>
    <w:rsid w:val="38C540FA"/>
    <w:rsid w:val="3A4C287E"/>
    <w:rsid w:val="3A5F718A"/>
    <w:rsid w:val="3BB5EE73"/>
    <w:rsid w:val="3C4F7EC1"/>
    <w:rsid w:val="3D6D7BD0"/>
    <w:rsid w:val="3DE071D3"/>
    <w:rsid w:val="3E3F1628"/>
    <w:rsid w:val="3E646B87"/>
    <w:rsid w:val="3F7B67FD"/>
    <w:rsid w:val="3FF4D6CC"/>
    <w:rsid w:val="3FFC3E8E"/>
    <w:rsid w:val="3FFE09AC"/>
    <w:rsid w:val="40F216A5"/>
    <w:rsid w:val="445D6282"/>
    <w:rsid w:val="44B245FB"/>
    <w:rsid w:val="481C4EEF"/>
    <w:rsid w:val="494A71FC"/>
    <w:rsid w:val="4B406B1F"/>
    <w:rsid w:val="4B7C7C4A"/>
    <w:rsid w:val="4CD75D27"/>
    <w:rsid w:val="4CF502DF"/>
    <w:rsid w:val="4D3D6FCF"/>
    <w:rsid w:val="4DB57E10"/>
    <w:rsid w:val="4DD78F15"/>
    <w:rsid w:val="4EA37BB4"/>
    <w:rsid w:val="4EE62F64"/>
    <w:rsid w:val="4EEA4915"/>
    <w:rsid w:val="4EEE5049"/>
    <w:rsid w:val="4F093433"/>
    <w:rsid w:val="505B3603"/>
    <w:rsid w:val="537F2B3C"/>
    <w:rsid w:val="5505384E"/>
    <w:rsid w:val="56D619F7"/>
    <w:rsid w:val="56FDB373"/>
    <w:rsid w:val="58ED23EB"/>
    <w:rsid w:val="5BAB6245"/>
    <w:rsid w:val="5C2658C3"/>
    <w:rsid w:val="5D9C1048"/>
    <w:rsid w:val="5DA5D881"/>
    <w:rsid w:val="5DFF3A0F"/>
    <w:rsid w:val="5F6B1F48"/>
    <w:rsid w:val="5FEF5CD7"/>
    <w:rsid w:val="62402BAF"/>
    <w:rsid w:val="64971D17"/>
    <w:rsid w:val="64AD7B5E"/>
    <w:rsid w:val="64EDDD98"/>
    <w:rsid w:val="65C6299E"/>
    <w:rsid w:val="69FF0918"/>
    <w:rsid w:val="6A4B0E0E"/>
    <w:rsid w:val="6AFE33BF"/>
    <w:rsid w:val="6B387E7B"/>
    <w:rsid w:val="6B467D0A"/>
    <w:rsid w:val="6E4F94E1"/>
    <w:rsid w:val="6EA06795"/>
    <w:rsid w:val="6EE5205E"/>
    <w:rsid w:val="6F3F2D76"/>
    <w:rsid w:val="6F812639"/>
    <w:rsid w:val="6FD9C8EA"/>
    <w:rsid w:val="6FF262CE"/>
    <w:rsid w:val="6FFE0FE1"/>
    <w:rsid w:val="71F700DD"/>
    <w:rsid w:val="735256A5"/>
    <w:rsid w:val="73FFFBDB"/>
    <w:rsid w:val="75A97EBB"/>
    <w:rsid w:val="76707DED"/>
    <w:rsid w:val="7750682E"/>
    <w:rsid w:val="77F6DEA6"/>
    <w:rsid w:val="79C92AE1"/>
    <w:rsid w:val="79F808DD"/>
    <w:rsid w:val="79FA95EA"/>
    <w:rsid w:val="7B7D358A"/>
    <w:rsid w:val="7BBCDC6A"/>
    <w:rsid w:val="7D69E32C"/>
    <w:rsid w:val="7DD3D74B"/>
    <w:rsid w:val="7DEA4009"/>
    <w:rsid w:val="7DEEE26F"/>
    <w:rsid w:val="7DFF0A6F"/>
    <w:rsid w:val="7E2FFE53"/>
    <w:rsid w:val="7E4A6976"/>
    <w:rsid w:val="7EB788E0"/>
    <w:rsid w:val="7EFE4912"/>
    <w:rsid w:val="7F7FFEE0"/>
    <w:rsid w:val="7FB9929C"/>
    <w:rsid w:val="7FBE07B2"/>
    <w:rsid w:val="7FDD6E68"/>
    <w:rsid w:val="7FDF397D"/>
    <w:rsid w:val="7FDFBBFE"/>
    <w:rsid w:val="7FF52CD3"/>
    <w:rsid w:val="7FFFFBF2"/>
    <w:rsid w:val="8DFF76AF"/>
    <w:rsid w:val="8E79BC8A"/>
    <w:rsid w:val="97F6679A"/>
    <w:rsid w:val="9ABB18DA"/>
    <w:rsid w:val="A7B76FCB"/>
    <w:rsid w:val="AAEF0381"/>
    <w:rsid w:val="AFFFBA01"/>
    <w:rsid w:val="BDFFE4F2"/>
    <w:rsid w:val="BEFB8D44"/>
    <w:rsid w:val="BF5C692A"/>
    <w:rsid w:val="BFB45EEB"/>
    <w:rsid w:val="BFE41919"/>
    <w:rsid w:val="BFEF009F"/>
    <w:rsid w:val="CDDE3865"/>
    <w:rsid w:val="DB4B7156"/>
    <w:rsid w:val="DEFA9173"/>
    <w:rsid w:val="DFEFC951"/>
    <w:rsid w:val="E3C7E486"/>
    <w:rsid w:val="E3F70E5A"/>
    <w:rsid w:val="EBAB54DB"/>
    <w:rsid w:val="EBF3621B"/>
    <w:rsid w:val="EDFFF8EF"/>
    <w:rsid w:val="EFF27C8A"/>
    <w:rsid w:val="EFFE9A86"/>
    <w:rsid w:val="F3AFD9D8"/>
    <w:rsid w:val="F3DF8D95"/>
    <w:rsid w:val="F4FB39F9"/>
    <w:rsid w:val="F75BACB8"/>
    <w:rsid w:val="F7E77146"/>
    <w:rsid w:val="F7F783CD"/>
    <w:rsid w:val="F9F92241"/>
    <w:rsid w:val="FC3BDC5B"/>
    <w:rsid w:val="FD1FC916"/>
    <w:rsid w:val="FDD53A20"/>
    <w:rsid w:val="FEEFE9C3"/>
    <w:rsid w:val="FF7F8B20"/>
    <w:rsid w:val="FFCE1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正文_0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Normal Indent"/>
    <w:basedOn w:val="1"/>
    <w:qFormat/>
    <w:uiPriority w:val="0"/>
    <w:pPr>
      <w:ind w:firstLine="630"/>
    </w:pPr>
    <w:rPr>
      <w:kern w:val="0"/>
    </w:rPr>
  </w:style>
  <w:style w:type="paragraph" w:styleId="5">
    <w:name w:val="Body Text"/>
    <w:basedOn w:val="1"/>
    <w:qFormat/>
    <w:uiPriority w:val="0"/>
    <w:pPr>
      <w:spacing w:after="120"/>
    </w:pPr>
  </w:style>
  <w:style w:type="paragraph" w:styleId="6">
    <w:name w:val="Body Text Indent"/>
    <w:basedOn w:val="1"/>
    <w:next w:val="1"/>
    <w:qFormat/>
    <w:uiPriority w:val="0"/>
    <w:pPr>
      <w:spacing w:line="440" w:lineRule="exact"/>
      <w:ind w:firstLine="420" w:firstLineChars="200"/>
    </w:pPr>
    <w:rPr>
      <w:rFonts w:ascii="宋体" w:hAnsi="宋体"/>
      <w:szCs w:val="24"/>
    </w:rPr>
  </w:style>
  <w:style w:type="paragraph" w:styleId="7">
    <w:name w:val="Date"/>
    <w:basedOn w:val="1"/>
    <w:next w:val="1"/>
    <w:qFormat/>
    <w:uiPriority w:val="0"/>
    <w:rPr>
      <w:rFonts w:ascii="文鼎书宋二" w:eastAsia="文鼎书宋二"/>
      <w:sz w:val="18"/>
    </w:rPr>
  </w:style>
  <w:style w:type="paragraph" w:styleId="8">
    <w:name w:val="Balloon Text"/>
    <w:basedOn w:val="1"/>
    <w:semiHidden/>
    <w:qFormat/>
    <w:uiPriority w:val="0"/>
    <w:rPr>
      <w:sz w:val="18"/>
      <w:szCs w:val="18"/>
    </w:rPr>
  </w:style>
  <w:style w:type="paragraph" w:styleId="9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styleId="10">
    <w:name w:val="Body Text First Indent 2"/>
    <w:basedOn w:val="6"/>
    <w:next w:val="1"/>
    <w:semiHidden/>
    <w:qFormat/>
    <w:uiPriority w:val="0"/>
    <w:pPr>
      <w:ind w:left="420" w:leftChars="200"/>
    </w:pPr>
  </w:style>
  <w:style w:type="table" w:styleId="12">
    <w:name w:val="Table Grid"/>
    <w:basedOn w:val="1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4">
    <w:name w:val="awspan"/>
    <w:basedOn w:val="13"/>
    <w:qFormat/>
    <w:uiPriority w:val="0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Office_12.1.2.22550_F1E327BC-269C-435d-A152-05C5408002CA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2020-04-24T17:45:00Z</dcterms:created>
  <dc:creator>汪红艳</dc:creator>
  <cp:lastModifiedBy>汪红艳</cp:lastModifiedBy>
  <cp:lastPrinted>2022-01-15T17:46:00Z</cp:lastPrinted>
  <dcterms:modified xsi:type="dcterms:W3CDTF">2026-07-03T14:22:49Z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2052-12.1.2.22550</vt:lpwstr>
  </property>
  <property fmtid="{D5CDD505-2E9C-101B-9397-08002B2CF9AE}" pid="3" name="ICV">
    <vt:lpwstr>80CAC97A3E54D605B5105B69829FB69F_42</vt:lpwstr>
  </property>
</Properties>
</file>